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cs="ArialUnicodeMS"/>
          <w:kern w:val="0"/>
          <w:sz w:val="28"/>
          <w:szCs w:val="28"/>
        </w:rPr>
      </w:pPr>
      <w:bookmarkStart w:id="0" w:name="_GoBack"/>
    </w:p>
    <w:p>
      <w:pPr>
        <w:rPr>
          <w:rFonts w:ascii="黑体" w:eastAsia="黑体" w:cs="ArialUnicodeMS"/>
          <w:kern w:val="0"/>
          <w:sz w:val="28"/>
          <w:szCs w:val="28"/>
        </w:rPr>
      </w:pPr>
    </w:p>
    <w:p>
      <w:pPr>
        <w:rPr>
          <w:rFonts w:ascii="黑体" w:eastAsia="黑体" w:cs="ArialUnicodeMS"/>
          <w:kern w:val="0"/>
          <w:sz w:val="28"/>
          <w:szCs w:val="28"/>
        </w:rPr>
      </w:pPr>
    </w:p>
    <w:p>
      <w:pPr>
        <w:jc w:val="center"/>
        <w:rPr>
          <w:rFonts w:ascii="黑体" w:hAnsi="黑体" w:eastAsia="黑体"/>
          <w:bCs/>
          <w:sz w:val="44"/>
          <w:szCs w:val="44"/>
        </w:rPr>
      </w:pPr>
      <w:r>
        <w:rPr>
          <w:rFonts w:hint="eastAsia" w:ascii="黑体" w:eastAsia="黑体" w:cs="ArialUnicodeMS"/>
          <w:kern w:val="0"/>
          <w:sz w:val="44"/>
          <w:szCs w:val="44"/>
        </w:rPr>
        <w:t>防城港市</w:t>
      </w:r>
      <w:r>
        <w:rPr>
          <w:rFonts w:hint="eastAsia" w:ascii="黑体" w:hAnsi="黑体" w:eastAsia="黑体"/>
          <w:bCs/>
          <w:sz w:val="44"/>
          <w:szCs w:val="44"/>
        </w:rPr>
        <w:t>公共资源交易中心</w:t>
      </w:r>
    </w:p>
    <w:p>
      <w:pPr>
        <w:jc w:val="center"/>
        <w:rPr>
          <w:rFonts w:ascii="黑体" w:eastAsia="黑体" w:cs="ArialUnicodeMS"/>
          <w:kern w:val="0"/>
          <w:sz w:val="44"/>
          <w:szCs w:val="44"/>
        </w:rPr>
      </w:pPr>
      <w:r>
        <w:rPr>
          <w:rFonts w:hint="eastAsia" w:ascii="黑体" w:eastAsia="黑体"/>
          <w:kern w:val="0"/>
          <w:sz w:val="44"/>
          <w:szCs w:val="44"/>
        </w:rPr>
        <w:t>2021</w:t>
      </w:r>
      <w:r>
        <w:rPr>
          <w:rFonts w:hint="eastAsia" w:ascii="黑体" w:eastAsia="黑体" w:cs="ArialUnicodeMS"/>
          <w:kern w:val="0"/>
          <w:sz w:val="44"/>
          <w:szCs w:val="44"/>
        </w:rPr>
        <w:t>年部门决算</w:t>
      </w:r>
    </w:p>
    <w:p>
      <w:pPr>
        <w:rPr>
          <w:rFonts w:ascii="ArialUnicodeMS" w:eastAsia="ArialUnicodeMS" w:cs="ArialUnicodeMS"/>
          <w:kern w:val="0"/>
          <w:sz w:val="28"/>
          <w:szCs w:val="28"/>
        </w:rPr>
      </w:pPr>
    </w:p>
    <w:p>
      <w:pPr>
        <w:rPr>
          <w:rFonts w:ascii="ArialUnicodeMS" w:eastAsia="ArialUnicodeMS" w:cs="ArialUnicodeMS"/>
          <w:kern w:val="0"/>
          <w:sz w:val="28"/>
          <w:szCs w:val="28"/>
        </w:rPr>
      </w:pPr>
    </w:p>
    <w:p>
      <w:pPr>
        <w:rPr>
          <w:rFonts w:ascii="ArialUnicodeMS" w:eastAsia="ArialUnicodeMS" w:cs="ArialUnicodeMS"/>
          <w:kern w:val="0"/>
          <w:sz w:val="28"/>
          <w:szCs w:val="28"/>
        </w:rPr>
      </w:pPr>
    </w:p>
    <w:p>
      <w:pPr>
        <w:rPr>
          <w:rFonts w:ascii="ArialUnicodeMS" w:eastAsia="ArialUnicodeMS" w:cs="ArialUnicodeMS"/>
          <w:kern w:val="0"/>
          <w:sz w:val="28"/>
          <w:szCs w:val="28"/>
        </w:rPr>
      </w:pPr>
    </w:p>
    <w:p>
      <w:pPr>
        <w:rPr>
          <w:rFonts w:ascii="ArialUnicodeMS" w:eastAsia="ArialUnicodeMS" w:cs="ArialUnicodeMS"/>
          <w:kern w:val="0"/>
          <w:sz w:val="28"/>
          <w:szCs w:val="28"/>
        </w:rPr>
      </w:pPr>
    </w:p>
    <w:p>
      <w:pPr>
        <w:rPr>
          <w:rFonts w:ascii="ArialUnicodeMS" w:eastAsia="ArialUnicodeMS" w:cs="ArialUnicodeMS"/>
          <w:kern w:val="0"/>
          <w:sz w:val="28"/>
          <w:szCs w:val="28"/>
        </w:rPr>
      </w:pPr>
    </w:p>
    <w:p>
      <w:pPr>
        <w:rPr>
          <w:rFonts w:ascii="ArialUnicodeMS" w:eastAsia="ArialUnicodeMS" w:cs="ArialUnicodeMS"/>
          <w:kern w:val="0"/>
          <w:sz w:val="28"/>
          <w:szCs w:val="28"/>
        </w:rPr>
      </w:pPr>
    </w:p>
    <w:p>
      <w:pPr>
        <w:ind w:firstLine="646"/>
        <w:jc w:val="center"/>
        <w:rPr>
          <w:rFonts w:ascii="仿宋" w:hAnsi="仿宋" w:eastAsia="仿宋"/>
          <w:b/>
          <w:sz w:val="28"/>
          <w:szCs w:val="28"/>
        </w:rPr>
      </w:pPr>
    </w:p>
    <w:p>
      <w:pPr>
        <w:ind w:firstLine="646"/>
        <w:jc w:val="center"/>
        <w:rPr>
          <w:rFonts w:ascii="仿宋" w:hAnsi="仿宋" w:eastAsia="仿宋"/>
          <w:b/>
          <w:sz w:val="28"/>
          <w:szCs w:val="28"/>
        </w:rPr>
      </w:pPr>
    </w:p>
    <w:p>
      <w:pPr>
        <w:ind w:firstLine="646"/>
        <w:jc w:val="center"/>
        <w:rPr>
          <w:rFonts w:ascii="仿宋" w:hAnsi="仿宋" w:eastAsia="仿宋"/>
          <w:b/>
          <w:sz w:val="28"/>
          <w:szCs w:val="28"/>
        </w:rPr>
      </w:pPr>
    </w:p>
    <w:p>
      <w:pPr>
        <w:ind w:firstLine="646"/>
        <w:jc w:val="center"/>
        <w:rPr>
          <w:rFonts w:ascii="仿宋" w:hAnsi="仿宋" w:eastAsia="仿宋"/>
          <w:b/>
          <w:sz w:val="28"/>
          <w:szCs w:val="28"/>
        </w:rPr>
      </w:pPr>
    </w:p>
    <w:p>
      <w:pPr>
        <w:ind w:firstLine="646"/>
        <w:jc w:val="center"/>
        <w:rPr>
          <w:rFonts w:ascii="仿宋" w:hAnsi="仿宋" w:eastAsia="仿宋"/>
          <w:b/>
          <w:sz w:val="28"/>
          <w:szCs w:val="28"/>
        </w:rPr>
      </w:pPr>
    </w:p>
    <w:p>
      <w:pPr>
        <w:ind w:firstLine="646"/>
        <w:jc w:val="center"/>
        <w:rPr>
          <w:rFonts w:ascii="仿宋" w:hAnsi="仿宋" w:eastAsia="仿宋"/>
          <w:b/>
          <w:sz w:val="28"/>
          <w:szCs w:val="28"/>
        </w:rPr>
      </w:pPr>
    </w:p>
    <w:p>
      <w:pPr>
        <w:ind w:firstLine="646"/>
        <w:jc w:val="center"/>
        <w:rPr>
          <w:rFonts w:ascii="仿宋" w:hAnsi="仿宋" w:eastAsia="仿宋"/>
          <w:b/>
          <w:sz w:val="28"/>
          <w:szCs w:val="28"/>
        </w:rPr>
      </w:pPr>
    </w:p>
    <w:p>
      <w:pPr>
        <w:ind w:firstLine="646"/>
        <w:jc w:val="center"/>
        <w:rPr>
          <w:rFonts w:ascii="仿宋" w:hAnsi="仿宋" w:eastAsia="仿宋"/>
          <w:b/>
          <w:sz w:val="28"/>
          <w:szCs w:val="28"/>
        </w:rPr>
      </w:pPr>
    </w:p>
    <w:p>
      <w:pPr>
        <w:ind w:firstLine="646"/>
        <w:jc w:val="center"/>
        <w:rPr>
          <w:rFonts w:ascii="仿宋" w:hAnsi="仿宋" w:eastAsia="仿宋"/>
          <w:b/>
          <w:sz w:val="28"/>
          <w:szCs w:val="28"/>
        </w:rPr>
      </w:pPr>
    </w:p>
    <w:p>
      <w:pPr>
        <w:ind w:firstLine="646"/>
        <w:jc w:val="center"/>
        <w:rPr>
          <w:rFonts w:ascii="仿宋" w:hAnsi="仿宋" w:eastAsia="仿宋"/>
          <w:b/>
          <w:sz w:val="28"/>
          <w:szCs w:val="28"/>
        </w:rPr>
      </w:pPr>
    </w:p>
    <w:p>
      <w:pPr>
        <w:ind w:firstLine="646"/>
        <w:jc w:val="center"/>
        <w:rPr>
          <w:rFonts w:ascii="仿宋" w:hAnsi="仿宋" w:eastAsia="仿宋"/>
          <w:b/>
          <w:sz w:val="28"/>
          <w:szCs w:val="28"/>
        </w:rPr>
      </w:pPr>
      <w:r>
        <w:rPr>
          <w:rFonts w:hint="eastAsia" w:ascii="仿宋" w:hAnsi="仿宋" w:eastAsia="仿宋"/>
          <w:b/>
          <w:sz w:val="28"/>
          <w:szCs w:val="28"/>
        </w:rPr>
        <w:t>目    录</w:t>
      </w:r>
    </w:p>
    <w:p>
      <w:pPr>
        <w:ind w:firstLine="646"/>
        <w:jc w:val="center"/>
        <w:rPr>
          <w:rFonts w:ascii="仿宋" w:hAnsi="仿宋" w:eastAsia="仿宋"/>
          <w:b/>
          <w:sz w:val="28"/>
          <w:szCs w:val="28"/>
        </w:rPr>
      </w:pPr>
    </w:p>
    <w:p>
      <w:pPr>
        <w:spacing w:line="400" w:lineRule="exact"/>
        <w:ind w:firstLine="645"/>
        <w:rPr>
          <w:rFonts w:ascii="仿宋" w:hAnsi="仿宋" w:eastAsia="仿宋"/>
          <w:b/>
          <w:sz w:val="28"/>
          <w:szCs w:val="28"/>
        </w:rPr>
      </w:pPr>
      <w:r>
        <w:rPr>
          <w:rFonts w:hint="eastAsia" w:ascii="仿宋" w:hAnsi="仿宋" w:eastAsia="仿宋"/>
          <w:b/>
          <w:sz w:val="28"/>
          <w:szCs w:val="28"/>
        </w:rPr>
        <w:t>第一部分：</w:t>
      </w:r>
      <w:r>
        <w:rPr>
          <w:rFonts w:hint="eastAsia" w:ascii="仿宋" w:hAnsi="仿宋" w:eastAsia="仿宋"/>
          <w:b/>
          <w:bCs/>
          <w:sz w:val="28"/>
          <w:szCs w:val="28"/>
        </w:rPr>
        <w:t>防城港市公共资源交易中心</w:t>
      </w:r>
      <w:r>
        <w:rPr>
          <w:rFonts w:hint="eastAsia" w:ascii="仿宋" w:hAnsi="仿宋" w:eastAsia="仿宋"/>
          <w:b/>
          <w:sz w:val="28"/>
          <w:szCs w:val="28"/>
        </w:rPr>
        <w:t>概况</w:t>
      </w:r>
    </w:p>
    <w:p>
      <w:pPr>
        <w:spacing w:line="400" w:lineRule="exact"/>
        <w:ind w:firstLine="645"/>
        <w:rPr>
          <w:rFonts w:ascii="仿宋" w:hAnsi="仿宋" w:eastAsia="仿宋"/>
          <w:sz w:val="28"/>
          <w:szCs w:val="28"/>
        </w:rPr>
      </w:pPr>
      <w:r>
        <w:rPr>
          <w:rFonts w:hint="eastAsia" w:ascii="仿宋" w:hAnsi="仿宋" w:eastAsia="仿宋"/>
          <w:sz w:val="28"/>
          <w:szCs w:val="28"/>
        </w:rPr>
        <w:t>一、主要职能</w:t>
      </w:r>
    </w:p>
    <w:p>
      <w:pPr>
        <w:spacing w:line="400" w:lineRule="exact"/>
        <w:ind w:firstLine="645"/>
        <w:rPr>
          <w:rFonts w:ascii="仿宋" w:hAnsi="仿宋" w:eastAsia="仿宋"/>
          <w:sz w:val="28"/>
          <w:szCs w:val="28"/>
        </w:rPr>
      </w:pPr>
      <w:r>
        <w:rPr>
          <w:rFonts w:hint="eastAsia" w:ascii="仿宋" w:hAnsi="仿宋" w:eastAsia="仿宋"/>
          <w:sz w:val="28"/>
          <w:szCs w:val="28"/>
        </w:rPr>
        <w:t>二、部门决算单位构成</w:t>
      </w:r>
    </w:p>
    <w:p>
      <w:pPr>
        <w:spacing w:line="400" w:lineRule="exact"/>
        <w:ind w:firstLine="645"/>
        <w:rPr>
          <w:rFonts w:ascii="仿宋" w:hAnsi="仿宋" w:eastAsia="仿宋"/>
          <w:b/>
          <w:sz w:val="28"/>
          <w:szCs w:val="28"/>
        </w:rPr>
      </w:pPr>
      <w:r>
        <w:rPr>
          <w:rFonts w:hint="eastAsia" w:ascii="仿宋" w:hAnsi="仿宋" w:eastAsia="仿宋"/>
          <w:b/>
          <w:sz w:val="28"/>
          <w:szCs w:val="28"/>
        </w:rPr>
        <w:t>第二部分：</w:t>
      </w:r>
      <w:r>
        <w:rPr>
          <w:rFonts w:hint="eastAsia" w:ascii="仿宋" w:hAnsi="仿宋" w:eastAsia="仿宋"/>
          <w:b/>
          <w:bCs/>
          <w:sz w:val="28"/>
          <w:szCs w:val="28"/>
        </w:rPr>
        <w:t>防城港市公共资源交易中心</w:t>
      </w:r>
      <w:r>
        <w:rPr>
          <w:rFonts w:hint="eastAsia" w:ascii="仿宋" w:hAnsi="仿宋" w:eastAsia="仿宋"/>
          <w:b/>
          <w:sz w:val="28"/>
          <w:szCs w:val="28"/>
        </w:rPr>
        <w:t>2021年部门决算报表</w:t>
      </w:r>
    </w:p>
    <w:p>
      <w:pPr>
        <w:spacing w:line="400" w:lineRule="exact"/>
        <w:ind w:left="645"/>
        <w:rPr>
          <w:rFonts w:ascii="仿宋" w:hAnsi="仿宋" w:eastAsia="仿宋"/>
          <w:sz w:val="28"/>
          <w:szCs w:val="28"/>
        </w:rPr>
      </w:pPr>
      <w:r>
        <w:rPr>
          <w:rFonts w:hint="eastAsia" w:ascii="仿宋" w:hAnsi="仿宋" w:eastAsia="仿宋"/>
          <w:sz w:val="28"/>
          <w:szCs w:val="28"/>
        </w:rPr>
        <w:t>表一：收入支出决算总表</w:t>
      </w:r>
    </w:p>
    <w:p>
      <w:pPr>
        <w:spacing w:line="400" w:lineRule="exact"/>
        <w:ind w:left="645"/>
        <w:rPr>
          <w:rFonts w:ascii="仿宋" w:hAnsi="仿宋" w:eastAsia="仿宋"/>
          <w:sz w:val="28"/>
          <w:szCs w:val="28"/>
        </w:rPr>
      </w:pPr>
      <w:r>
        <w:rPr>
          <w:rFonts w:hint="eastAsia" w:ascii="仿宋" w:hAnsi="仿宋" w:eastAsia="仿宋"/>
          <w:sz w:val="28"/>
          <w:szCs w:val="28"/>
        </w:rPr>
        <w:t>表二：收入决算表</w:t>
      </w:r>
    </w:p>
    <w:p>
      <w:pPr>
        <w:spacing w:line="400" w:lineRule="exact"/>
        <w:ind w:left="645"/>
        <w:rPr>
          <w:rFonts w:ascii="仿宋" w:hAnsi="仿宋" w:eastAsia="仿宋"/>
          <w:sz w:val="28"/>
          <w:szCs w:val="28"/>
        </w:rPr>
      </w:pPr>
      <w:r>
        <w:rPr>
          <w:rFonts w:hint="eastAsia" w:ascii="仿宋" w:hAnsi="仿宋" w:eastAsia="仿宋"/>
          <w:sz w:val="28"/>
          <w:szCs w:val="28"/>
        </w:rPr>
        <w:t>表三：支出决算表</w:t>
      </w:r>
    </w:p>
    <w:p>
      <w:pPr>
        <w:spacing w:line="400" w:lineRule="exact"/>
        <w:ind w:left="645"/>
        <w:rPr>
          <w:rFonts w:ascii="仿宋" w:hAnsi="仿宋" w:eastAsia="仿宋"/>
          <w:sz w:val="28"/>
          <w:szCs w:val="28"/>
        </w:rPr>
      </w:pPr>
      <w:r>
        <w:rPr>
          <w:rFonts w:hint="eastAsia" w:ascii="仿宋" w:hAnsi="仿宋" w:eastAsia="仿宋"/>
          <w:sz w:val="28"/>
          <w:szCs w:val="28"/>
        </w:rPr>
        <w:t>表四：财政拨款收入支出决算总表</w:t>
      </w:r>
    </w:p>
    <w:p>
      <w:pPr>
        <w:spacing w:line="400" w:lineRule="exact"/>
        <w:ind w:left="645"/>
        <w:rPr>
          <w:rFonts w:ascii="仿宋" w:hAnsi="仿宋" w:eastAsia="仿宋"/>
          <w:sz w:val="28"/>
          <w:szCs w:val="28"/>
        </w:rPr>
      </w:pPr>
      <w:r>
        <w:rPr>
          <w:rFonts w:hint="eastAsia" w:ascii="仿宋" w:hAnsi="仿宋" w:eastAsia="仿宋"/>
          <w:sz w:val="28"/>
          <w:szCs w:val="28"/>
        </w:rPr>
        <w:t>表五：一般公共预算财政拨款支出决算表</w:t>
      </w:r>
    </w:p>
    <w:p>
      <w:pPr>
        <w:spacing w:line="400" w:lineRule="exact"/>
        <w:ind w:left="645"/>
        <w:rPr>
          <w:rFonts w:ascii="仿宋" w:hAnsi="仿宋" w:eastAsia="仿宋"/>
          <w:sz w:val="28"/>
          <w:szCs w:val="28"/>
        </w:rPr>
      </w:pPr>
      <w:r>
        <w:rPr>
          <w:rFonts w:hint="eastAsia" w:ascii="仿宋" w:hAnsi="仿宋" w:eastAsia="仿宋"/>
          <w:sz w:val="28"/>
          <w:szCs w:val="28"/>
        </w:rPr>
        <w:t>表六：一般公共预算财政拨款基本支出决算表</w:t>
      </w:r>
    </w:p>
    <w:p>
      <w:pPr>
        <w:spacing w:line="400" w:lineRule="exact"/>
        <w:ind w:left="645"/>
        <w:rPr>
          <w:rFonts w:ascii="仿宋" w:hAnsi="仿宋" w:eastAsia="仿宋"/>
          <w:sz w:val="28"/>
          <w:szCs w:val="28"/>
        </w:rPr>
      </w:pPr>
      <w:r>
        <w:rPr>
          <w:rFonts w:hint="eastAsia" w:ascii="仿宋" w:hAnsi="仿宋" w:eastAsia="仿宋"/>
          <w:sz w:val="28"/>
          <w:szCs w:val="28"/>
        </w:rPr>
        <w:t>表七：一般公共预算财政拨款安排的“三公”经费支出决算表</w:t>
      </w:r>
    </w:p>
    <w:p>
      <w:pPr>
        <w:spacing w:line="400" w:lineRule="exact"/>
        <w:ind w:left="645"/>
        <w:rPr>
          <w:rFonts w:ascii="仿宋" w:hAnsi="仿宋" w:eastAsia="仿宋"/>
          <w:sz w:val="28"/>
          <w:szCs w:val="28"/>
        </w:rPr>
      </w:pPr>
      <w:r>
        <w:rPr>
          <w:rFonts w:hint="eastAsia" w:ascii="仿宋" w:hAnsi="仿宋" w:eastAsia="仿宋"/>
          <w:sz w:val="28"/>
          <w:szCs w:val="28"/>
        </w:rPr>
        <w:t>表八：政府性基金预算财政拨款收入支出决算表</w:t>
      </w:r>
    </w:p>
    <w:p>
      <w:pPr>
        <w:spacing w:line="400" w:lineRule="exact"/>
        <w:ind w:left="645"/>
        <w:rPr>
          <w:rFonts w:ascii="仿宋" w:hAnsi="仿宋" w:eastAsia="仿宋"/>
          <w:sz w:val="28"/>
          <w:szCs w:val="28"/>
        </w:rPr>
      </w:pPr>
      <w:r>
        <w:rPr>
          <w:rFonts w:hint="eastAsia" w:ascii="仿宋" w:hAnsi="仿宋" w:eastAsia="仿宋"/>
          <w:sz w:val="28"/>
          <w:szCs w:val="28"/>
        </w:rPr>
        <w:t>表九：国有资本经营预算财政拨款收入支出决算表</w:t>
      </w:r>
    </w:p>
    <w:p>
      <w:pPr>
        <w:spacing w:line="400" w:lineRule="exact"/>
        <w:ind w:firstLine="645"/>
        <w:rPr>
          <w:rFonts w:ascii="仿宋" w:hAnsi="仿宋" w:eastAsia="仿宋"/>
          <w:b/>
          <w:sz w:val="28"/>
          <w:szCs w:val="28"/>
        </w:rPr>
      </w:pPr>
      <w:r>
        <w:rPr>
          <w:rFonts w:hint="eastAsia" w:ascii="仿宋" w:hAnsi="仿宋" w:eastAsia="仿宋"/>
          <w:b/>
          <w:sz w:val="28"/>
          <w:szCs w:val="28"/>
        </w:rPr>
        <w:t>第三部分：</w:t>
      </w:r>
      <w:r>
        <w:rPr>
          <w:rFonts w:hint="eastAsia" w:ascii="仿宋" w:hAnsi="仿宋" w:eastAsia="仿宋"/>
          <w:b/>
          <w:bCs/>
          <w:sz w:val="28"/>
          <w:szCs w:val="28"/>
        </w:rPr>
        <w:t>防城港市公共资源交易中心</w:t>
      </w:r>
      <w:r>
        <w:rPr>
          <w:rFonts w:hint="eastAsia" w:ascii="仿宋" w:hAnsi="仿宋" w:eastAsia="仿宋"/>
          <w:b/>
          <w:sz w:val="28"/>
          <w:szCs w:val="28"/>
        </w:rPr>
        <w:t>2021年度部门决算情况说明</w:t>
      </w:r>
    </w:p>
    <w:p>
      <w:pPr>
        <w:autoSpaceDE w:val="0"/>
        <w:autoSpaceDN w:val="0"/>
        <w:adjustRightInd w:val="0"/>
        <w:spacing w:line="400" w:lineRule="exact"/>
        <w:ind w:firstLine="560" w:firstLineChars="200"/>
        <w:jc w:val="left"/>
        <w:rPr>
          <w:rFonts w:ascii="仿宋" w:hAnsi="仿宋" w:eastAsia="仿宋" w:cs="仿宋_GB2312"/>
          <w:kern w:val="0"/>
          <w:sz w:val="28"/>
          <w:szCs w:val="28"/>
        </w:rPr>
      </w:pPr>
      <w:r>
        <w:rPr>
          <w:rFonts w:hint="eastAsia" w:ascii="仿宋" w:hAnsi="仿宋" w:eastAsia="仿宋" w:cs="仿宋_GB2312"/>
          <w:kern w:val="0"/>
          <w:sz w:val="28"/>
          <w:szCs w:val="28"/>
        </w:rPr>
        <w:t>一、</w:t>
      </w:r>
      <w:r>
        <w:rPr>
          <w:rFonts w:hint="eastAsia" w:ascii="仿宋" w:hAnsi="仿宋" w:eastAsia="仿宋"/>
          <w:kern w:val="0"/>
          <w:sz w:val="28"/>
          <w:szCs w:val="28"/>
        </w:rPr>
        <w:t xml:space="preserve">2021 </w:t>
      </w:r>
      <w:r>
        <w:rPr>
          <w:rFonts w:hint="eastAsia" w:ascii="仿宋" w:hAnsi="仿宋" w:eastAsia="仿宋" w:cs="仿宋_GB2312"/>
          <w:kern w:val="0"/>
          <w:sz w:val="28"/>
          <w:szCs w:val="28"/>
        </w:rPr>
        <w:t>年度收入支出决算总体情况。</w:t>
      </w:r>
    </w:p>
    <w:p>
      <w:pPr>
        <w:autoSpaceDE w:val="0"/>
        <w:autoSpaceDN w:val="0"/>
        <w:adjustRightInd w:val="0"/>
        <w:spacing w:line="400" w:lineRule="exact"/>
        <w:ind w:firstLine="560" w:firstLineChars="200"/>
        <w:jc w:val="left"/>
        <w:rPr>
          <w:rFonts w:ascii="仿宋" w:hAnsi="仿宋" w:eastAsia="仿宋" w:cs="仿宋_GB2312"/>
          <w:kern w:val="0"/>
          <w:sz w:val="28"/>
          <w:szCs w:val="28"/>
        </w:rPr>
      </w:pPr>
      <w:r>
        <w:rPr>
          <w:rFonts w:hint="eastAsia" w:ascii="仿宋" w:hAnsi="仿宋" w:eastAsia="仿宋" w:cs="仿宋_GB2312"/>
          <w:kern w:val="0"/>
          <w:sz w:val="28"/>
          <w:szCs w:val="28"/>
        </w:rPr>
        <w:t>二、</w:t>
      </w:r>
      <w:r>
        <w:rPr>
          <w:rFonts w:hint="eastAsia" w:ascii="仿宋" w:hAnsi="仿宋" w:eastAsia="仿宋"/>
          <w:kern w:val="0"/>
          <w:sz w:val="28"/>
          <w:szCs w:val="28"/>
        </w:rPr>
        <w:t xml:space="preserve">2021 </w:t>
      </w:r>
      <w:r>
        <w:rPr>
          <w:rFonts w:hint="eastAsia" w:ascii="仿宋" w:hAnsi="仿宋" w:eastAsia="仿宋" w:cs="仿宋_GB2312"/>
          <w:kern w:val="0"/>
          <w:sz w:val="28"/>
          <w:szCs w:val="28"/>
        </w:rPr>
        <w:t>年度</w:t>
      </w:r>
      <w:r>
        <w:rPr>
          <w:rFonts w:hint="eastAsia" w:ascii="仿宋" w:hAnsi="仿宋" w:eastAsia="仿宋"/>
          <w:sz w:val="28"/>
          <w:szCs w:val="28"/>
        </w:rPr>
        <w:t>一般</w:t>
      </w:r>
      <w:r>
        <w:rPr>
          <w:rFonts w:hint="eastAsia" w:ascii="仿宋" w:hAnsi="仿宋" w:eastAsia="仿宋" w:cs="仿宋_GB2312"/>
          <w:kern w:val="0"/>
          <w:sz w:val="28"/>
          <w:szCs w:val="28"/>
        </w:rPr>
        <w:t>公共预算财政拨款支出决算情况。</w:t>
      </w:r>
    </w:p>
    <w:p>
      <w:pPr>
        <w:autoSpaceDE w:val="0"/>
        <w:autoSpaceDN w:val="0"/>
        <w:adjustRightInd w:val="0"/>
        <w:spacing w:line="400" w:lineRule="exact"/>
        <w:ind w:firstLine="560" w:firstLineChars="200"/>
        <w:jc w:val="left"/>
        <w:rPr>
          <w:rFonts w:ascii="仿宋" w:hAnsi="仿宋" w:eastAsia="仿宋" w:cs="仿宋_GB2312"/>
          <w:kern w:val="0"/>
          <w:sz w:val="28"/>
          <w:szCs w:val="28"/>
        </w:rPr>
      </w:pPr>
      <w:r>
        <w:rPr>
          <w:rFonts w:hint="eastAsia" w:ascii="仿宋" w:hAnsi="仿宋" w:eastAsia="仿宋" w:cs="仿宋_GB2312"/>
          <w:kern w:val="0"/>
          <w:sz w:val="28"/>
          <w:szCs w:val="28"/>
        </w:rPr>
        <w:t>三、2021年度一般公共预算财政拨款基本支出决算情况说明。</w:t>
      </w:r>
    </w:p>
    <w:p>
      <w:pPr>
        <w:autoSpaceDE w:val="0"/>
        <w:autoSpaceDN w:val="0"/>
        <w:adjustRightInd w:val="0"/>
        <w:spacing w:line="400" w:lineRule="exact"/>
        <w:ind w:firstLine="560" w:firstLineChars="200"/>
        <w:jc w:val="left"/>
        <w:rPr>
          <w:rFonts w:ascii="仿宋" w:hAnsi="仿宋" w:eastAsia="仿宋" w:cs="仿宋_GB2312"/>
          <w:kern w:val="0"/>
          <w:sz w:val="28"/>
          <w:szCs w:val="28"/>
        </w:rPr>
      </w:pPr>
      <w:r>
        <w:rPr>
          <w:rFonts w:hint="eastAsia" w:ascii="仿宋" w:hAnsi="仿宋" w:eastAsia="仿宋" w:cs="仿宋_GB2312"/>
          <w:kern w:val="0"/>
          <w:sz w:val="28"/>
          <w:szCs w:val="28"/>
        </w:rPr>
        <w:t>四、</w:t>
      </w:r>
      <w:r>
        <w:rPr>
          <w:rFonts w:hint="eastAsia" w:ascii="仿宋" w:hAnsi="仿宋" w:eastAsia="仿宋"/>
          <w:kern w:val="0"/>
          <w:sz w:val="28"/>
          <w:szCs w:val="28"/>
        </w:rPr>
        <w:t xml:space="preserve">2021 </w:t>
      </w:r>
      <w:r>
        <w:rPr>
          <w:rFonts w:hint="eastAsia" w:ascii="仿宋" w:hAnsi="仿宋" w:eastAsia="仿宋" w:cs="仿宋_GB2312"/>
          <w:kern w:val="0"/>
          <w:sz w:val="28"/>
          <w:szCs w:val="28"/>
        </w:rPr>
        <w:t>年度政府性基金支出决算情况。</w:t>
      </w:r>
    </w:p>
    <w:p>
      <w:pPr>
        <w:autoSpaceDE w:val="0"/>
        <w:autoSpaceDN w:val="0"/>
        <w:adjustRightInd w:val="0"/>
        <w:spacing w:line="400" w:lineRule="exact"/>
        <w:ind w:firstLine="560" w:firstLineChars="200"/>
        <w:jc w:val="left"/>
        <w:rPr>
          <w:rFonts w:ascii="仿宋" w:hAnsi="仿宋" w:eastAsia="仿宋" w:cs="仿宋_GB2312"/>
          <w:kern w:val="0"/>
          <w:sz w:val="28"/>
          <w:szCs w:val="28"/>
        </w:rPr>
      </w:pPr>
      <w:r>
        <w:rPr>
          <w:rFonts w:hint="eastAsia" w:ascii="仿宋" w:hAnsi="仿宋" w:eastAsia="仿宋" w:cs="仿宋_GB2312"/>
          <w:kern w:val="0"/>
          <w:sz w:val="28"/>
          <w:szCs w:val="28"/>
        </w:rPr>
        <w:t>五、2021年度国有资本经营预算支出决算情况</w:t>
      </w:r>
    </w:p>
    <w:p>
      <w:pPr>
        <w:autoSpaceDE w:val="0"/>
        <w:autoSpaceDN w:val="0"/>
        <w:adjustRightInd w:val="0"/>
        <w:spacing w:line="400" w:lineRule="exact"/>
        <w:ind w:firstLine="560" w:firstLineChars="200"/>
        <w:jc w:val="left"/>
        <w:rPr>
          <w:rFonts w:ascii="仿宋" w:hAnsi="仿宋" w:eastAsia="仿宋" w:cs="仿宋_GB2312"/>
          <w:kern w:val="0"/>
          <w:sz w:val="28"/>
          <w:szCs w:val="28"/>
        </w:rPr>
      </w:pPr>
      <w:r>
        <w:rPr>
          <w:rFonts w:hint="eastAsia" w:ascii="仿宋" w:hAnsi="仿宋" w:eastAsia="仿宋" w:cs="仿宋_GB2312"/>
          <w:kern w:val="0"/>
          <w:sz w:val="28"/>
          <w:szCs w:val="28"/>
        </w:rPr>
        <w:t>六、</w:t>
      </w:r>
      <w:r>
        <w:rPr>
          <w:rFonts w:hint="eastAsia" w:ascii="仿宋" w:hAnsi="仿宋" w:eastAsia="仿宋"/>
          <w:sz w:val="28"/>
          <w:szCs w:val="28"/>
        </w:rPr>
        <w:t>一般</w:t>
      </w:r>
      <w:r>
        <w:rPr>
          <w:rFonts w:hint="eastAsia" w:ascii="仿宋" w:hAnsi="仿宋" w:eastAsia="仿宋" w:cs="仿宋_GB2312"/>
          <w:kern w:val="0"/>
          <w:sz w:val="28"/>
          <w:szCs w:val="28"/>
        </w:rPr>
        <w:t>公共预算财政拨款安排的“三公”经费支出决算情况说明。</w:t>
      </w:r>
    </w:p>
    <w:p>
      <w:pPr>
        <w:autoSpaceDE w:val="0"/>
        <w:autoSpaceDN w:val="0"/>
        <w:adjustRightInd w:val="0"/>
        <w:spacing w:line="400" w:lineRule="exact"/>
        <w:ind w:firstLine="560" w:firstLineChars="200"/>
        <w:jc w:val="left"/>
        <w:rPr>
          <w:rFonts w:ascii="仿宋" w:hAnsi="仿宋" w:eastAsia="仿宋" w:cs="仿宋_GB2312"/>
          <w:kern w:val="0"/>
          <w:sz w:val="28"/>
          <w:szCs w:val="28"/>
        </w:rPr>
      </w:pPr>
      <w:r>
        <w:rPr>
          <w:rFonts w:hint="eastAsia" w:ascii="仿宋" w:hAnsi="仿宋" w:eastAsia="仿宋" w:cs="仿宋_GB2312"/>
          <w:kern w:val="0"/>
          <w:sz w:val="28"/>
          <w:szCs w:val="28"/>
        </w:rPr>
        <w:t>七、其他重要事项情况说明。</w:t>
      </w:r>
    </w:p>
    <w:p>
      <w:pPr>
        <w:autoSpaceDE w:val="0"/>
        <w:autoSpaceDN w:val="0"/>
        <w:adjustRightInd w:val="0"/>
        <w:spacing w:line="400" w:lineRule="exact"/>
        <w:ind w:firstLine="562" w:firstLineChars="200"/>
        <w:jc w:val="left"/>
        <w:rPr>
          <w:rFonts w:ascii="仿宋" w:hAnsi="仿宋" w:eastAsia="仿宋" w:cs="仿宋_GB2312"/>
          <w:b/>
          <w:kern w:val="0"/>
          <w:sz w:val="28"/>
          <w:szCs w:val="28"/>
        </w:rPr>
      </w:pPr>
      <w:r>
        <w:rPr>
          <w:rFonts w:hint="eastAsia" w:ascii="仿宋" w:hAnsi="仿宋" w:eastAsia="仿宋" w:cs="仿宋_GB2312"/>
          <w:b/>
          <w:kern w:val="0"/>
          <w:sz w:val="28"/>
          <w:szCs w:val="28"/>
        </w:rPr>
        <w:t>第四部分、名词解释。</w:t>
      </w:r>
    </w:p>
    <w:p>
      <w:pPr>
        <w:autoSpaceDE w:val="0"/>
        <w:autoSpaceDN w:val="0"/>
        <w:adjustRightInd w:val="0"/>
        <w:ind w:firstLine="562" w:firstLineChars="200"/>
        <w:jc w:val="left"/>
        <w:rPr>
          <w:rFonts w:ascii="仿宋" w:hAnsi="仿宋" w:eastAsia="仿宋" w:cs="仿宋_GB2312"/>
          <w:b/>
          <w:kern w:val="0"/>
          <w:sz w:val="28"/>
          <w:szCs w:val="28"/>
        </w:rPr>
      </w:pPr>
    </w:p>
    <w:p>
      <w:pPr>
        <w:autoSpaceDE w:val="0"/>
        <w:autoSpaceDN w:val="0"/>
        <w:adjustRightInd w:val="0"/>
        <w:ind w:firstLine="562" w:firstLineChars="200"/>
        <w:jc w:val="left"/>
        <w:rPr>
          <w:rFonts w:ascii="仿宋" w:hAnsi="仿宋" w:eastAsia="仿宋" w:cs="仿宋_GB2312"/>
          <w:b/>
          <w:kern w:val="0"/>
          <w:sz w:val="28"/>
          <w:szCs w:val="28"/>
        </w:rPr>
      </w:pPr>
    </w:p>
    <w:p>
      <w:pPr>
        <w:autoSpaceDE w:val="0"/>
        <w:autoSpaceDN w:val="0"/>
        <w:adjustRightInd w:val="0"/>
        <w:ind w:firstLine="562" w:firstLineChars="200"/>
        <w:jc w:val="left"/>
        <w:rPr>
          <w:rFonts w:ascii="仿宋" w:hAnsi="仿宋" w:eastAsia="仿宋" w:cs="仿宋_GB2312"/>
          <w:b/>
          <w:kern w:val="0"/>
          <w:sz w:val="28"/>
          <w:szCs w:val="28"/>
        </w:rPr>
      </w:pPr>
    </w:p>
    <w:p>
      <w:pPr>
        <w:autoSpaceDE w:val="0"/>
        <w:autoSpaceDN w:val="0"/>
        <w:adjustRightInd w:val="0"/>
        <w:ind w:firstLine="562" w:firstLineChars="200"/>
        <w:jc w:val="left"/>
        <w:rPr>
          <w:rFonts w:ascii="仿宋" w:hAnsi="仿宋" w:eastAsia="仿宋" w:cs="仿宋_GB2312"/>
          <w:b/>
          <w:kern w:val="0"/>
          <w:sz w:val="28"/>
          <w:szCs w:val="28"/>
        </w:rPr>
      </w:pPr>
    </w:p>
    <w:p>
      <w:pPr>
        <w:autoSpaceDE w:val="0"/>
        <w:autoSpaceDN w:val="0"/>
        <w:adjustRightInd w:val="0"/>
        <w:ind w:firstLine="562" w:firstLineChars="200"/>
        <w:jc w:val="left"/>
        <w:rPr>
          <w:rFonts w:ascii="仿宋" w:hAnsi="仿宋" w:eastAsia="仿宋" w:cs="仿宋_GB2312"/>
          <w:b/>
          <w:kern w:val="0"/>
          <w:sz w:val="28"/>
          <w:szCs w:val="28"/>
        </w:rPr>
      </w:pPr>
    </w:p>
    <w:p>
      <w:pPr>
        <w:ind w:firstLine="646"/>
        <w:jc w:val="center"/>
        <w:rPr>
          <w:rFonts w:ascii="仿宋" w:hAnsi="仿宋" w:eastAsia="仿宋"/>
          <w:b/>
          <w:sz w:val="28"/>
          <w:szCs w:val="28"/>
        </w:rPr>
      </w:pPr>
      <w:r>
        <w:rPr>
          <w:rFonts w:hint="eastAsia" w:ascii="仿宋" w:hAnsi="仿宋" w:eastAsia="仿宋"/>
          <w:b/>
          <w:sz w:val="28"/>
          <w:szCs w:val="28"/>
        </w:rPr>
        <w:t>第一部分：</w:t>
      </w:r>
      <w:r>
        <w:rPr>
          <w:rFonts w:hint="eastAsia" w:ascii="仿宋" w:hAnsi="仿宋" w:eastAsia="仿宋"/>
          <w:b/>
          <w:bCs/>
          <w:sz w:val="28"/>
          <w:szCs w:val="28"/>
        </w:rPr>
        <w:t>防城港市公共资源交易中心</w:t>
      </w:r>
      <w:r>
        <w:rPr>
          <w:rFonts w:hint="eastAsia" w:ascii="仿宋" w:hAnsi="仿宋" w:eastAsia="仿宋"/>
          <w:b/>
          <w:sz w:val="28"/>
          <w:szCs w:val="28"/>
        </w:rPr>
        <w:t>概况</w:t>
      </w:r>
    </w:p>
    <w:p>
      <w:pPr>
        <w:ind w:firstLine="646"/>
        <w:rPr>
          <w:rFonts w:ascii="仿宋" w:hAnsi="仿宋" w:eastAsia="仿宋"/>
          <w:b/>
          <w:sz w:val="28"/>
          <w:szCs w:val="28"/>
        </w:rPr>
      </w:pPr>
    </w:p>
    <w:p>
      <w:pPr>
        <w:spacing w:line="560" w:lineRule="exact"/>
        <w:ind w:firstLine="646"/>
        <w:rPr>
          <w:rFonts w:ascii="仿宋" w:hAnsi="仿宋" w:eastAsia="仿宋"/>
          <w:b/>
          <w:sz w:val="28"/>
          <w:szCs w:val="28"/>
        </w:rPr>
      </w:pPr>
      <w:r>
        <w:rPr>
          <w:rFonts w:hint="eastAsia" w:ascii="仿宋" w:hAnsi="仿宋" w:eastAsia="仿宋"/>
          <w:b/>
          <w:sz w:val="28"/>
          <w:szCs w:val="28"/>
        </w:rPr>
        <w:t>一、主要职能</w:t>
      </w:r>
    </w:p>
    <w:p>
      <w:pPr>
        <w:shd w:val="clear" w:color="auto" w:fill="FFFFFF"/>
        <w:spacing w:line="560" w:lineRule="exact"/>
        <w:ind w:firstLine="618" w:firstLineChars="221"/>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防城港市公共资源交易中心（以下简称“交易中心”）为市大数据和行政审批局管理的财政全额拨款公益一类的事业单位，主要职责是为全市公共资源交易活动各方当事人提供交易平台和相关服务。具体业务涉及工程建设项目招标投标、政府采购、土地使用权和矿业权出让、海域使用权出让、国有产权交易等公共资源交易活动，是全市开展公共资源交易活动的唯一平台。</w:t>
      </w:r>
    </w:p>
    <w:p>
      <w:pPr>
        <w:pStyle w:val="4"/>
        <w:spacing w:before="0" w:beforeAutospacing="0" w:after="0" w:afterAutospacing="0" w:line="360" w:lineRule="auto"/>
        <w:ind w:firstLine="640"/>
        <w:jc w:val="both"/>
        <w:rPr>
          <w:rFonts w:ascii="仿宋" w:hAnsi="仿宋" w:eastAsia="仿宋" w:cs="Times New Roman"/>
          <w:b/>
          <w:color w:val="000000"/>
          <w:sz w:val="28"/>
          <w:szCs w:val="28"/>
        </w:rPr>
      </w:pPr>
      <w:r>
        <w:rPr>
          <w:rFonts w:hint="eastAsia" w:ascii="仿宋" w:hAnsi="仿宋" w:eastAsia="仿宋" w:cs="Times New Roman"/>
          <w:b/>
          <w:color w:val="000000"/>
          <w:sz w:val="28"/>
          <w:szCs w:val="28"/>
        </w:rPr>
        <w:t>二、机构设置情况</w:t>
      </w:r>
    </w:p>
    <w:p>
      <w:pPr>
        <w:pStyle w:val="4"/>
        <w:spacing w:before="0" w:beforeAutospacing="0" w:after="0" w:afterAutospacing="0" w:line="360" w:lineRule="auto"/>
        <w:ind w:firstLine="640"/>
        <w:jc w:val="both"/>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防城港市公共资源交易中心为市大数据和行政审批局管理的正科级事业单位，内设综合部、信息技术部、开标评标服务部、交易服务部、财务部5个部室，场所面积约1300平方米。</w:t>
      </w:r>
    </w:p>
    <w:p>
      <w:pPr>
        <w:ind w:firstLine="646"/>
        <w:rPr>
          <w:rFonts w:ascii="仿宋" w:hAnsi="仿宋" w:eastAsia="仿宋"/>
          <w:b/>
          <w:sz w:val="28"/>
          <w:szCs w:val="28"/>
        </w:rPr>
      </w:pPr>
      <w:r>
        <w:rPr>
          <w:rFonts w:hint="eastAsia" w:ascii="仿宋" w:hAnsi="仿宋" w:eastAsia="仿宋"/>
          <w:b/>
          <w:sz w:val="28"/>
          <w:szCs w:val="28"/>
        </w:rPr>
        <w:t>三、人员构成情况</w:t>
      </w:r>
    </w:p>
    <w:p>
      <w:pPr>
        <w:shd w:val="clear" w:color="auto" w:fill="FFFFFF"/>
        <w:spacing w:line="540" w:lineRule="exact"/>
        <w:ind w:firstLine="618" w:firstLineChars="221"/>
        <w:jc w:val="left"/>
        <w:rPr>
          <w:rFonts w:ascii="仿宋" w:hAnsi="仿宋" w:eastAsia="仿宋"/>
          <w:b/>
          <w:sz w:val="28"/>
          <w:szCs w:val="28"/>
        </w:rPr>
      </w:pPr>
      <w:r>
        <w:rPr>
          <w:rFonts w:hint="eastAsia" w:ascii="仿宋_GB2312" w:hAnsi="仿宋_GB2312" w:eastAsia="仿宋_GB2312" w:cs="仿宋_GB2312"/>
          <w:sz w:val="28"/>
          <w:szCs w:val="28"/>
        </w:rPr>
        <w:t>交易中心核定编制人数15人，截止2021年12月，实有在编人数14名。聘用专业技术人员8名，保洁人员2名。按照人社局核定的岗位核算工资，目前套用核定的工资岗位为专技岗6人（其中：专技6级1人、专技七级1人，专技八级1人、专技十级1人、专技十一级1人、专技十二级1人）；管理岗位6人（其中：管理七级1人，管理八级2人，管理九级3人）；工勤技能岗2人。</w:t>
      </w:r>
    </w:p>
    <w:p>
      <w:pPr>
        <w:ind w:firstLine="562" w:firstLineChars="200"/>
        <w:rPr>
          <w:rFonts w:ascii="仿宋" w:hAnsi="仿宋" w:eastAsia="仿宋"/>
          <w:b/>
          <w:sz w:val="28"/>
          <w:szCs w:val="28"/>
        </w:rPr>
      </w:pPr>
    </w:p>
    <w:p>
      <w:pPr>
        <w:ind w:firstLine="562" w:firstLineChars="200"/>
        <w:rPr>
          <w:rFonts w:ascii="仿宋" w:hAnsi="仿宋" w:eastAsia="仿宋"/>
          <w:b/>
          <w:sz w:val="28"/>
          <w:szCs w:val="28"/>
        </w:rPr>
      </w:pPr>
    </w:p>
    <w:p>
      <w:pPr>
        <w:ind w:firstLine="562" w:firstLineChars="200"/>
        <w:rPr>
          <w:rFonts w:ascii="仿宋" w:hAnsi="仿宋" w:eastAsia="仿宋"/>
          <w:b/>
          <w:sz w:val="28"/>
          <w:szCs w:val="28"/>
        </w:rPr>
      </w:pPr>
    </w:p>
    <w:p>
      <w:pPr>
        <w:ind w:firstLine="562" w:firstLineChars="200"/>
        <w:rPr>
          <w:rFonts w:ascii="仿宋" w:hAnsi="仿宋" w:eastAsia="仿宋"/>
          <w:b/>
          <w:sz w:val="28"/>
          <w:szCs w:val="28"/>
        </w:rPr>
      </w:pPr>
    </w:p>
    <w:p>
      <w:pPr>
        <w:ind w:firstLine="562" w:firstLineChars="200"/>
        <w:rPr>
          <w:rFonts w:ascii="仿宋" w:hAnsi="仿宋" w:eastAsia="仿宋"/>
          <w:b/>
          <w:sz w:val="28"/>
          <w:szCs w:val="28"/>
        </w:rPr>
      </w:pPr>
      <w:r>
        <w:rPr>
          <w:rFonts w:hint="eastAsia" w:ascii="仿宋" w:hAnsi="仿宋" w:eastAsia="仿宋"/>
          <w:b/>
          <w:sz w:val="28"/>
          <w:szCs w:val="28"/>
        </w:rPr>
        <w:t>第二部分：</w:t>
      </w:r>
      <w:r>
        <w:rPr>
          <w:rFonts w:hint="eastAsia" w:ascii="仿宋" w:hAnsi="仿宋" w:eastAsia="仿宋"/>
          <w:b/>
          <w:bCs/>
          <w:sz w:val="28"/>
          <w:szCs w:val="28"/>
        </w:rPr>
        <w:t>防城港市公共资源交易中心</w:t>
      </w:r>
      <w:r>
        <w:rPr>
          <w:rFonts w:hint="eastAsia" w:ascii="仿宋" w:hAnsi="仿宋" w:eastAsia="仿宋"/>
          <w:b/>
          <w:sz w:val="28"/>
          <w:szCs w:val="28"/>
        </w:rPr>
        <w:t xml:space="preserve"> 2021年部门决算报表</w:t>
      </w:r>
    </w:p>
    <w:p>
      <w:pPr>
        <w:widowControl/>
        <w:jc w:val="center"/>
        <w:rPr>
          <w:rFonts w:ascii="仿宋" w:hAnsi="仿宋" w:eastAsia="仿宋" w:cs="Arial"/>
          <w:color w:val="000000"/>
          <w:kern w:val="0"/>
          <w:sz w:val="22"/>
          <w:szCs w:val="22"/>
        </w:rPr>
      </w:pPr>
      <w:r>
        <w:rPr>
          <w:rFonts w:hint="eastAsia" w:ascii="仿宋" w:hAnsi="仿宋" w:eastAsia="仿宋" w:cs="Arial"/>
          <w:color w:val="000000"/>
          <w:kern w:val="0"/>
          <w:sz w:val="22"/>
          <w:szCs w:val="22"/>
        </w:rPr>
        <w:t>表一：收入支出决算总表</w:t>
      </w:r>
    </w:p>
    <w:tbl>
      <w:tblPr>
        <w:tblStyle w:val="5"/>
        <w:tblW w:w="5386" w:type="pct"/>
        <w:tblInd w:w="0" w:type="dxa"/>
        <w:tblLayout w:type="fixed"/>
        <w:tblCellMar>
          <w:top w:w="0" w:type="dxa"/>
          <w:left w:w="108" w:type="dxa"/>
          <w:bottom w:w="0" w:type="dxa"/>
          <w:right w:w="108" w:type="dxa"/>
        </w:tblCellMar>
      </w:tblPr>
      <w:tblGrid>
        <w:gridCol w:w="2675"/>
        <w:gridCol w:w="525"/>
        <w:gridCol w:w="889"/>
        <w:gridCol w:w="839"/>
        <w:gridCol w:w="1933"/>
        <w:gridCol w:w="523"/>
        <w:gridCol w:w="1728"/>
        <w:gridCol w:w="68"/>
      </w:tblGrid>
      <w:tr>
        <w:tblPrEx>
          <w:tblCellMar>
            <w:top w:w="0" w:type="dxa"/>
            <w:left w:w="108" w:type="dxa"/>
            <w:bottom w:w="0" w:type="dxa"/>
            <w:right w:w="108" w:type="dxa"/>
          </w:tblCellMar>
        </w:tblPrEx>
        <w:trPr>
          <w:gridAfter w:val="1"/>
          <w:wAfter w:w="37" w:type="pct"/>
          <w:trHeight w:val="255" w:hRule="atLeast"/>
        </w:trPr>
        <w:tc>
          <w:tcPr>
            <w:tcW w:w="2227" w:type="pct"/>
            <w:gridSpan w:val="3"/>
            <w:tcBorders>
              <w:top w:val="nil"/>
              <w:left w:val="nil"/>
              <w:bottom w:val="nil"/>
              <w:right w:val="nil"/>
            </w:tcBorders>
            <w:noWrap/>
            <w:vAlign w:val="bottom"/>
          </w:tcPr>
          <w:p>
            <w:pPr>
              <w:widowControl/>
              <w:jc w:val="left"/>
              <w:rPr>
                <w:rFonts w:ascii="仿宋" w:hAnsi="仿宋" w:eastAsia="仿宋" w:cs="Arial"/>
                <w:color w:val="000000"/>
                <w:kern w:val="0"/>
                <w:sz w:val="22"/>
                <w:szCs w:val="22"/>
              </w:rPr>
            </w:pPr>
            <w:r>
              <w:rPr>
                <w:rFonts w:hint="eastAsia" w:ascii="仿宋" w:hAnsi="仿宋" w:eastAsia="仿宋" w:cs="Arial"/>
                <w:color w:val="000000"/>
                <w:kern w:val="0"/>
                <w:sz w:val="22"/>
                <w:szCs w:val="22"/>
              </w:rPr>
              <w:t>部门：防城港市公共资源交易中心</w:t>
            </w:r>
          </w:p>
        </w:tc>
        <w:tc>
          <w:tcPr>
            <w:tcW w:w="2736" w:type="pct"/>
            <w:gridSpan w:val="4"/>
            <w:tcBorders>
              <w:top w:val="nil"/>
              <w:left w:val="nil"/>
              <w:bottom w:val="nil"/>
              <w:right w:val="nil"/>
            </w:tcBorders>
            <w:noWrap/>
            <w:vAlign w:val="bottom"/>
          </w:tcPr>
          <w:p>
            <w:pPr>
              <w:widowControl/>
              <w:ind w:right="800" w:firstLine="2420" w:firstLineChars="1100"/>
              <w:rPr>
                <w:rFonts w:ascii="仿宋" w:hAnsi="仿宋" w:eastAsia="仿宋" w:cs="Arial"/>
                <w:color w:val="000000"/>
                <w:kern w:val="0"/>
                <w:sz w:val="22"/>
                <w:szCs w:val="22"/>
              </w:rPr>
            </w:pPr>
            <w:r>
              <w:rPr>
                <w:rFonts w:hint="eastAsia" w:ascii="仿宋" w:hAnsi="仿宋" w:eastAsia="仿宋" w:cs="Arial"/>
                <w:color w:val="000000"/>
                <w:kern w:val="0"/>
                <w:sz w:val="22"/>
                <w:szCs w:val="22"/>
              </w:rPr>
              <w:t>金额单位：元</w:t>
            </w:r>
          </w:p>
        </w:tc>
      </w:tr>
      <w:tr>
        <w:tblPrEx>
          <w:tblCellMar>
            <w:top w:w="0" w:type="dxa"/>
            <w:left w:w="108" w:type="dxa"/>
            <w:bottom w:w="0" w:type="dxa"/>
            <w:right w:w="108" w:type="dxa"/>
          </w:tblCellMar>
        </w:tblPrEx>
        <w:trPr>
          <w:trHeight w:val="308" w:hRule="atLeast"/>
        </w:trPr>
        <w:tc>
          <w:tcPr>
            <w:tcW w:w="2684"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收入</w:t>
            </w:r>
          </w:p>
        </w:tc>
        <w:tc>
          <w:tcPr>
            <w:tcW w:w="2316" w:type="pct"/>
            <w:gridSpan w:val="4"/>
            <w:tcBorders>
              <w:top w:val="single" w:color="000000" w:sz="4" w:space="0"/>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支出</w:t>
            </w:r>
          </w:p>
        </w:tc>
      </w:tr>
      <w:tr>
        <w:tblPrEx>
          <w:tblCellMar>
            <w:top w:w="0" w:type="dxa"/>
            <w:left w:w="108" w:type="dxa"/>
            <w:bottom w:w="0" w:type="dxa"/>
            <w:right w:w="108" w:type="dxa"/>
          </w:tblCellMar>
        </w:tblPrEx>
        <w:trPr>
          <w:trHeight w:val="308" w:hRule="atLeast"/>
        </w:trPr>
        <w:tc>
          <w:tcPr>
            <w:tcW w:w="145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86"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941" w:type="pct"/>
            <w:gridSpan w:val="2"/>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金额</w:t>
            </w:r>
          </w:p>
        </w:tc>
        <w:tc>
          <w:tcPr>
            <w:tcW w:w="1053"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8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978" w:type="pct"/>
            <w:gridSpan w:val="2"/>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金额</w:t>
            </w:r>
          </w:p>
        </w:tc>
      </w:tr>
      <w:tr>
        <w:tblPrEx>
          <w:tblCellMar>
            <w:top w:w="0" w:type="dxa"/>
            <w:left w:w="108" w:type="dxa"/>
            <w:bottom w:w="0" w:type="dxa"/>
            <w:right w:w="108" w:type="dxa"/>
          </w:tblCellMar>
        </w:tblPrEx>
        <w:trPr>
          <w:trHeight w:val="308" w:hRule="atLeast"/>
        </w:trPr>
        <w:tc>
          <w:tcPr>
            <w:tcW w:w="145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86"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941" w:type="pct"/>
            <w:gridSpan w:val="2"/>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053"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8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978" w:type="pct"/>
            <w:gridSpan w:val="2"/>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r>
      <w:tr>
        <w:tblPrEx>
          <w:tblCellMar>
            <w:top w:w="0" w:type="dxa"/>
            <w:left w:w="108" w:type="dxa"/>
            <w:bottom w:w="0" w:type="dxa"/>
            <w:right w:w="108" w:type="dxa"/>
          </w:tblCellMar>
        </w:tblPrEx>
        <w:trPr>
          <w:trHeight w:val="308" w:hRule="atLeast"/>
        </w:trPr>
        <w:tc>
          <w:tcPr>
            <w:tcW w:w="145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一、一般公共预算财政拨款收入</w:t>
            </w:r>
          </w:p>
        </w:tc>
        <w:tc>
          <w:tcPr>
            <w:tcW w:w="286"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941"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3,706,268.46</w:t>
            </w:r>
          </w:p>
        </w:tc>
        <w:tc>
          <w:tcPr>
            <w:tcW w:w="105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28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32</w:t>
            </w:r>
          </w:p>
        </w:tc>
        <w:tc>
          <w:tcPr>
            <w:tcW w:w="978"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3,141,607.82</w:t>
            </w:r>
          </w:p>
        </w:tc>
      </w:tr>
      <w:tr>
        <w:tblPrEx>
          <w:tblCellMar>
            <w:top w:w="0" w:type="dxa"/>
            <w:left w:w="108" w:type="dxa"/>
            <w:bottom w:w="0" w:type="dxa"/>
            <w:right w:w="108" w:type="dxa"/>
          </w:tblCellMar>
        </w:tblPrEx>
        <w:trPr>
          <w:trHeight w:val="308" w:hRule="atLeast"/>
        </w:trPr>
        <w:tc>
          <w:tcPr>
            <w:tcW w:w="145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二、政府性基金预算财政拨款收入</w:t>
            </w:r>
          </w:p>
        </w:tc>
        <w:tc>
          <w:tcPr>
            <w:tcW w:w="286"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941"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5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28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33</w:t>
            </w:r>
          </w:p>
        </w:tc>
        <w:tc>
          <w:tcPr>
            <w:tcW w:w="978"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45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三、国有资本经营预算财政拨款收入</w:t>
            </w:r>
          </w:p>
        </w:tc>
        <w:tc>
          <w:tcPr>
            <w:tcW w:w="286"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941"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5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28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34</w:t>
            </w:r>
          </w:p>
        </w:tc>
        <w:tc>
          <w:tcPr>
            <w:tcW w:w="978"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45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四、上级补助收入</w:t>
            </w:r>
          </w:p>
        </w:tc>
        <w:tc>
          <w:tcPr>
            <w:tcW w:w="286"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941"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5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28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35</w:t>
            </w:r>
          </w:p>
        </w:tc>
        <w:tc>
          <w:tcPr>
            <w:tcW w:w="978"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45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五、事业收入</w:t>
            </w:r>
          </w:p>
        </w:tc>
        <w:tc>
          <w:tcPr>
            <w:tcW w:w="286"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941"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5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28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36</w:t>
            </w:r>
          </w:p>
        </w:tc>
        <w:tc>
          <w:tcPr>
            <w:tcW w:w="978"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45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六、经营收入</w:t>
            </w:r>
          </w:p>
        </w:tc>
        <w:tc>
          <w:tcPr>
            <w:tcW w:w="286"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941"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5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28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37</w:t>
            </w:r>
          </w:p>
        </w:tc>
        <w:tc>
          <w:tcPr>
            <w:tcW w:w="978"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45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七、附属单位上缴收入</w:t>
            </w:r>
          </w:p>
        </w:tc>
        <w:tc>
          <w:tcPr>
            <w:tcW w:w="286"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941"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5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七、文化旅游体育与传媒支出</w:t>
            </w:r>
          </w:p>
        </w:tc>
        <w:tc>
          <w:tcPr>
            <w:tcW w:w="28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38</w:t>
            </w:r>
          </w:p>
        </w:tc>
        <w:tc>
          <w:tcPr>
            <w:tcW w:w="978"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45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八、其他收入</w:t>
            </w:r>
          </w:p>
        </w:tc>
        <w:tc>
          <w:tcPr>
            <w:tcW w:w="286"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941"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5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28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39</w:t>
            </w:r>
          </w:p>
        </w:tc>
        <w:tc>
          <w:tcPr>
            <w:tcW w:w="978"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234,031.13</w:t>
            </w:r>
          </w:p>
        </w:tc>
      </w:tr>
      <w:tr>
        <w:tblPrEx>
          <w:tblCellMar>
            <w:top w:w="0" w:type="dxa"/>
            <w:left w:w="108" w:type="dxa"/>
            <w:bottom w:w="0" w:type="dxa"/>
            <w:right w:w="108" w:type="dxa"/>
          </w:tblCellMar>
        </w:tblPrEx>
        <w:trPr>
          <w:trHeight w:val="308" w:hRule="atLeast"/>
        </w:trPr>
        <w:tc>
          <w:tcPr>
            <w:tcW w:w="145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86"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941"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5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九、卫生健康支出</w:t>
            </w:r>
          </w:p>
        </w:tc>
        <w:tc>
          <w:tcPr>
            <w:tcW w:w="28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40</w:t>
            </w:r>
          </w:p>
        </w:tc>
        <w:tc>
          <w:tcPr>
            <w:tcW w:w="978"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101,658.12</w:t>
            </w:r>
          </w:p>
        </w:tc>
      </w:tr>
      <w:tr>
        <w:tblPrEx>
          <w:tblCellMar>
            <w:top w:w="0" w:type="dxa"/>
            <w:left w:w="108" w:type="dxa"/>
            <w:bottom w:w="0" w:type="dxa"/>
            <w:right w:w="108" w:type="dxa"/>
          </w:tblCellMar>
        </w:tblPrEx>
        <w:trPr>
          <w:trHeight w:val="308" w:hRule="atLeast"/>
        </w:trPr>
        <w:tc>
          <w:tcPr>
            <w:tcW w:w="145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86"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941"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5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28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41</w:t>
            </w:r>
          </w:p>
        </w:tc>
        <w:tc>
          <w:tcPr>
            <w:tcW w:w="978"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45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86"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941"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5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28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42</w:t>
            </w:r>
          </w:p>
        </w:tc>
        <w:tc>
          <w:tcPr>
            <w:tcW w:w="978"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45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86"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941"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5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28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43</w:t>
            </w:r>
          </w:p>
        </w:tc>
        <w:tc>
          <w:tcPr>
            <w:tcW w:w="978"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45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86"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w:t>
            </w:r>
          </w:p>
        </w:tc>
        <w:tc>
          <w:tcPr>
            <w:tcW w:w="941"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5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28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44</w:t>
            </w:r>
          </w:p>
        </w:tc>
        <w:tc>
          <w:tcPr>
            <w:tcW w:w="978"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45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86"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941"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5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十四、资源勘探工业信息等支出</w:t>
            </w:r>
          </w:p>
        </w:tc>
        <w:tc>
          <w:tcPr>
            <w:tcW w:w="28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45</w:t>
            </w:r>
          </w:p>
        </w:tc>
        <w:tc>
          <w:tcPr>
            <w:tcW w:w="978"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45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86"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w:t>
            </w:r>
          </w:p>
        </w:tc>
        <w:tc>
          <w:tcPr>
            <w:tcW w:w="941"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5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28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46</w:t>
            </w:r>
          </w:p>
        </w:tc>
        <w:tc>
          <w:tcPr>
            <w:tcW w:w="978"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45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86"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16</w:t>
            </w:r>
          </w:p>
        </w:tc>
        <w:tc>
          <w:tcPr>
            <w:tcW w:w="941"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5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28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47</w:t>
            </w:r>
          </w:p>
        </w:tc>
        <w:tc>
          <w:tcPr>
            <w:tcW w:w="978"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45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86"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941"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5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十七、援助其他地区支出</w:t>
            </w:r>
          </w:p>
        </w:tc>
        <w:tc>
          <w:tcPr>
            <w:tcW w:w="28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48</w:t>
            </w:r>
          </w:p>
        </w:tc>
        <w:tc>
          <w:tcPr>
            <w:tcW w:w="978"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45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86"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18</w:t>
            </w:r>
          </w:p>
        </w:tc>
        <w:tc>
          <w:tcPr>
            <w:tcW w:w="941"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5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十八、自然资源海洋气象等支出</w:t>
            </w:r>
          </w:p>
        </w:tc>
        <w:tc>
          <w:tcPr>
            <w:tcW w:w="28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49</w:t>
            </w:r>
          </w:p>
        </w:tc>
        <w:tc>
          <w:tcPr>
            <w:tcW w:w="978"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45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86"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w:t>
            </w:r>
          </w:p>
        </w:tc>
        <w:tc>
          <w:tcPr>
            <w:tcW w:w="941"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5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十九、住房保障支出</w:t>
            </w:r>
          </w:p>
        </w:tc>
        <w:tc>
          <w:tcPr>
            <w:tcW w:w="28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50</w:t>
            </w:r>
          </w:p>
        </w:tc>
        <w:tc>
          <w:tcPr>
            <w:tcW w:w="978"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199,600.00</w:t>
            </w:r>
          </w:p>
        </w:tc>
      </w:tr>
      <w:tr>
        <w:tblPrEx>
          <w:tblCellMar>
            <w:top w:w="0" w:type="dxa"/>
            <w:left w:w="108" w:type="dxa"/>
            <w:bottom w:w="0" w:type="dxa"/>
            <w:right w:w="108" w:type="dxa"/>
          </w:tblCellMar>
        </w:tblPrEx>
        <w:trPr>
          <w:trHeight w:val="308" w:hRule="atLeast"/>
        </w:trPr>
        <w:tc>
          <w:tcPr>
            <w:tcW w:w="145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86"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p>
        </w:tc>
        <w:tc>
          <w:tcPr>
            <w:tcW w:w="941"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5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二十、粮油物资储备支出</w:t>
            </w:r>
          </w:p>
        </w:tc>
        <w:tc>
          <w:tcPr>
            <w:tcW w:w="28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51</w:t>
            </w:r>
          </w:p>
        </w:tc>
        <w:tc>
          <w:tcPr>
            <w:tcW w:w="978"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45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86"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21</w:t>
            </w:r>
          </w:p>
        </w:tc>
        <w:tc>
          <w:tcPr>
            <w:tcW w:w="941"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5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二十一、国有资本经营预算支出</w:t>
            </w:r>
          </w:p>
        </w:tc>
        <w:tc>
          <w:tcPr>
            <w:tcW w:w="28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52</w:t>
            </w:r>
          </w:p>
        </w:tc>
        <w:tc>
          <w:tcPr>
            <w:tcW w:w="978"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45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86"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w:t>
            </w:r>
          </w:p>
        </w:tc>
        <w:tc>
          <w:tcPr>
            <w:tcW w:w="941"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5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二十二、灾害防治及应急管理支出</w:t>
            </w:r>
          </w:p>
        </w:tc>
        <w:tc>
          <w:tcPr>
            <w:tcW w:w="28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53</w:t>
            </w:r>
          </w:p>
        </w:tc>
        <w:tc>
          <w:tcPr>
            <w:tcW w:w="978"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45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86"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23</w:t>
            </w:r>
          </w:p>
        </w:tc>
        <w:tc>
          <w:tcPr>
            <w:tcW w:w="941"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5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二十三、其他支出</w:t>
            </w:r>
          </w:p>
        </w:tc>
        <w:tc>
          <w:tcPr>
            <w:tcW w:w="28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54</w:t>
            </w:r>
          </w:p>
        </w:tc>
        <w:tc>
          <w:tcPr>
            <w:tcW w:w="978"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45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286"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24</w:t>
            </w:r>
          </w:p>
        </w:tc>
        <w:tc>
          <w:tcPr>
            <w:tcW w:w="941"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5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二十四、债务还本支出</w:t>
            </w:r>
          </w:p>
        </w:tc>
        <w:tc>
          <w:tcPr>
            <w:tcW w:w="28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55</w:t>
            </w:r>
          </w:p>
        </w:tc>
        <w:tc>
          <w:tcPr>
            <w:tcW w:w="978"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45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86"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25</w:t>
            </w:r>
          </w:p>
        </w:tc>
        <w:tc>
          <w:tcPr>
            <w:tcW w:w="941"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5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二十五、债务付息支出</w:t>
            </w:r>
          </w:p>
        </w:tc>
        <w:tc>
          <w:tcPr>
            <w:tcW w:w="28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56</w:t>
            </w:r>
          </w:p>
        </w:tc>
        <w:tc>
          <w:tcPr>
            <w:tcW w:w="978"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45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86"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26</w:t>
            </w:r>
          </w:p>
        </w:tc>
        <w:tc>
          <w:tcPr>
            <w:tcW w:w="941"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5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二十六、抗疫特别国债安排的支出</w:t>
            </w:r>
          </w:p>
        </w:tc>
        <w:tc>
          <w:tcPr>
            <w:tcW w:w="28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57</w:t>
            </w:r>
          </w:p>
        </w:tc>
        <w:tc>
          <w:tcPr>
            <w:tcW w:w="978"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45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本年收入合计</w:t>
            </w:r>
          </w:p>
        </w:tc>
        <w:tc>
          <w:tcPr>
            <w:tcW w:w="286"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27</w:t>
            </w:r>
          </w:p>
        </w:tc>
        <w:tc>
          <w:tcPr>
            <w:tcW w:w="941"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3,706,268.46</w:t>
            </w:r>
          </w:p>
        </w:tc>
        <w:tc>
          <w:tcPr>
            <w:tcW w:w="1053"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本年支出合计</w:t>
            </w:r>
          </w:p>
        </w:tc>
        <w:tc>
          <w:tcPr>
            <w:tcW w:w="28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58</w:t>
            </w:r>
          </w:p>
        </w:tc>
        <w:tc>
          <w:tcPr>
            <w:tcW w:w="978"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3,676,897.07</w:t>
            </w:r>
          </w:p>
        </w:tc>
      </w:tr>
      <w:tr>
        <w:tblPrEx>
          <w:tblCellMar>
            <w:top w:w="0" w:type="dxa"/>
            <w:left w:w="108" w:type="dxa"/>
            <w:bottom w:w="0" w:type="dxa"/>
            <w:right w:w="108" w:type="dxa"/>
          </w:tblCellMar>
        </w:tblPrEx>
        <w:trPr>
          <w:trHeight w:val="308" w:hRule="atLeast"/>
        </w:trPr>
        <w:tc>
          <w:tcPr>
            <w:tcW w:w="145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使用非财政拨款结余</w:t>
            </w:r>
          </w:p>
        </w:tc>
        <w:tc>
          <w:tcPr>
            <w:tcW w:w="286"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28</w:t>
            </w:r>
          </w:p>
        </w:tc>
        <w:tc>
          <w:tcPr>
            <w:tcW w:w="941"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5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结余分配</w:t>
            </w:r>
          </w:p>
        </w:tc>
        <w:tc>
          <w:tcPr>
            <w:tcW w:w="28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59</w:t>
            </w:r>
          </w:p>
        </w:tc>
        <w:tc>
          <w:tcPr>
            <w:tcW w:w="978"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45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286"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29</w:t>
            </w:r>
          </w:p>
        </w:tc>
        <w:tc>
          <w:tcPr>
            <w:tcW w:w="941"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44,082.89</w:t>
            </w:r>
          </w:p>
        </w:tc>
        <w:tc>
          <w:tcPr>
            <w:tcW w:w="105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年末结转和结余</w:t>
            </w:r>
          </w:p>
        </w:tc>
        <w:tc>
          <w:tcPr>
            <w:tcW w:w="28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60</w:t>
            </w:r>
          </w:p>
        </w:tc>
        <w:tc>
          <w:tcPr>
            <w:tcW w:w="978"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73,454.28</w:t>
            </w:r>
          </w:p>
        </w:tc>
      </w:tr>
      <w:tr>
        <w:tblPrEx>
          <w:tblCellMar>
            <w:top w:w="0" w:type="dxa"/>
            <w:left w:w="108" w:type="dxa"/>
            <w:bottom w:w="0" w:type="dxa"/>
            <w:right w:w="108" w:type="dxa"/>
          </w:tblCellMar>
        </w:tblPrEx>
        <w:trPr>
          <w:trHeight w:val="308" w:hRule="atLeast"/>
        </w:trPr>
        <w:tc>
          <w:tcPr>
            <w:tcW w:w="145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86"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30</w:t>
            </w:r>
          </w:p>
        </w:tc>
        <w:tc>
          <w:tcPr>
            <w:tcW w:w="941"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5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8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61</w:t>
            </w:r>
          </w:p>
        </w:tc>
        <w:tc>
          <w:tcPr>
            <w:tcW w:w="978"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457"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286"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31</w:t>
            </w:r>
          </w:p>
        </w:tc>
        <w:tc>
          <w:tcPr>
            <w:tcW w:w="941"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3,750,351.35</w:t>
            </w:r>
          </w:p>
        </w:tc>
        <w:tc>
          <w:tcPr>
            <w:tcW w:w="1053"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285"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62</w:t>
            </w:r>
          </w:p>
        </w:tc>
        <w:tc>
          <w:tcPr>
            <w:tcW w:w="978"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3,750,351.35</w:t>
            </w:r>
          </w:p>
        </w:tc>
      </w:tr>
    </w:tbl>
    <w:p>
      <w:pPr>
        <w:ind w:firstLine="646"/>
        <w:rPr>
          <w:rFonts w:ascii="仿宋" w:hAnsi="仿宋" w:eastAsia="仿宋"/>
          <w:b/>
          <w:sz w:val="22"/>
          <w:szCs w:val="22"/>
        </w:rPr>
      </w:pPr>
      <w:r>
        <w:rPr>
          <w:rFonts w:hint="eastAsia" w:ascii="仿宋" w:hAnsi="仿宋" w:eastAsia="仿宋" w:cs="宋体"/>
          <w:kern w:val="0"/>
          <w:sz w:val="22"/>
          <w:szCs w:val="22"/>
        </w:rPr>
        <w:t>注：本表依据《收入支出决算批复表》（公开01表）进行公开。</w:t>
      </w:r>
      <w:r>
        <w:rPr>
          <w:rFonts w:hint="eastAsia" w:ascii="仿宋" w:hAnsi="仿宋" w:eastAsia="仿宋" w:cs="Arial"/>
          <w:kern w:val="0"/>
          <w:sz w:val="22"/>
          <w:szCs w:val="22"/>
        </w:rPr>
        <w:t>本</w:t>
      </w:r>
      <w:r>
        <w:rPr>
          <w:rFonts w:hint="eastAsia" w:ascii="仿宋" w:hAnsi="仿宋" w:eastAsia="仿宋" w:cs="Arial"/>
          <w:color w:val="000000"/>
          <w:kern w:val="0"/>
          <w:sz w:val="22"/>
          <w:szCs w:val="22"/>
        </w:rPr>
        <w:t>表反映部门本年度的总收支和年末结转结余情况。本套报表金额单位转换时可能存在尾数误差。</w:t>
      </w:r>
    </w:p>
    <w:p>
      <w:pPr>
        <w:jc w:val="center"/>
        <w:rPr>
          <w:rFonts w:ascii="仿宋" w:hAnsi="仿宋" w:eastAsia="仿宋" w:cs="宋体"/>
          <w:kern w:val="0"/>
          <w:sz w:val="22"/>
          <w:szCs w:val="22"/>
        </w:rPr>
      </w:pPr>
    </w:p>
    <w:p>
      <w:pPr>
        <w:jc w:val="center"/>
        <w:rPr>
          <w:rFonts w:ascii="仿宋" w:hAnsi="仿宋" w:eastAsia="仿宋" w:cs="宋体"/>
          <w:kern w:val="0"/>
          <w:sz w:val="22"/>
          <w:szCs w:val="22"/>
        </w:rPr>
      </w:pPr>
      <w:r>
        <w:rPr>
          <w:rFonts w:hint="eastAsia" w:ascii="仿宋" w:hAnsi="仿宋" w:eastAsia="仿宋" w:cs="宋体"/>
          <w:kern w:val="0"/>
          <w:sz w:val="22"/>
          <w:szCs w:val="22"/>
        </w:rPr>
        <w:t>表二：收入决算表</w:t>
      </w:r>
    </w:p>
    <w:tbl>
      <w:tblPr>
        <w:tblStyle w:val="5"/>
        <w:tblW w:w="5386" w:type="pct"/>
        <w:tblInd w:w="0" w:type="dxa"/>
        <w:tblLayout w:type="fixed"/>
        <w:tblCellMar>
          <w:top w:w="0" w:type="dxa"/>
          <w:left w:w="108" w:type="dxa"/>
          <w:bottom w:w="0" w:type="dxa"/>
          <w:right w:w="108" w:type="dxa"/>
        </w:tblCellMar>
      </w:tblPr>
      <w:tblGrid>
        <w:gridCol w:w="790"/>
        <w:gridCol w:w="312"/>
        <w:gridCol w:w="1988"/>
        <w:gridCol w:w="1036"/>
        <w:gridCol w:w="663"/>
        <w:gridCol w:w="1559"/>
        <w:gridCol w:w="670"/>
        <w:gridCol w:w="378"/>
        <w:gridCol w:w="378"/>
        <w:gridCol w:w="378"/>
        <w:gridCol w:w="378"/>
        <w:gridCol w:w="650"/>
      </w:tblGrid>
      <w:tr>
        <w:tblPrEx>
          <w:tblCellMar>
            <w:top w:w="0" w:type="dxa"/>
            <w:left w:w="108" w:type="dxa"/>
            <w:bottom w:w="0" w:type="dxa"/>
            <w:right w:w="108" w:type="dxa"/>
          </w:tblCellMar>
        </w:tblPrEx>
        <w:trPr>
          <w:trHeight w:val="255" w:hRule="atLeast"/>
        </w:trPr>
        <w:tc>
          <w:tcPr>
            <w:tcW w:w="2247" w:type="pct"/>
            <w:gridSpan w:val="4"/>
            <w:tcBorders>
              <w:top w:val="nil"/>
              <w:left w:val="nil"/>
              <w:bottom w:val="nil"/>
              <w:right w:val="nil"/>
            </w:tcBorders>
            <w:noWrap/>
            <w:vAlign w:val="bottom"/>
          </w:tcPr>
          <w:p>
            <w:pPr>
              <w:widowControl/>
              <w:jc w:val="left"/>
              <w:rPr>
                <w:rFonts w:ascii="仿宋" w:hAnsi="仿宋" w:eastAsia="仿宋" w:cs="Arial"/>
                <w:color w:val="000000"/>
                <w:kern w:val="0"/>
                <w:sz w:val="22"/>
                <w:szCs w:val="22"/>
              </w:rPr>
            </w:pPr>
            <w:r>
              <w:rPr>
                <w:rFonts w:hint="eastAsia" w:ascii="仿宋" w:hAnsi="仿宋" w:eastAsia="仿宋" w:cs="Arial"/>
                <w:color w:val="000000"/>
                <w:kern w:val="0"/>
                <w:sz w:val="22"/>
                <w:szCs w:val="22"/>
              </w:rPr>
              <w:t>部门：防城港市公共资源交易中心</w:t>
            </w:r>
          </w:p>
        </w:tc>
        <w:tc>
          <w:tcPr>
            <w:tcW w:w="2753" w:type="pct"/>
            <w:gridSpan w:val="8"/>
            <w:tcBorders>
              <w:top w:val="nil"/>
              <w:left w:val="nil"/>
              <w:bottom w:val="nil"/>
              <w:right w:val="nil"/>
            </w:tcBorders>
            <w:noWrap/>
            <w:vAlign w:val="bottom"/>
          </w:tcPr>
          <w:p>
            <w:pPr>
              <w:widowControl/>
              <w:ind w:right="800" w:firstLine="2420" w:firstLineChars="1100"/>
              <w:rPr>
                <w:rFonts w:ascii="仿宋" w:hAnsi="仿宋" w:eastAsia="仿宋" w:cs="Arial"/>
                <w:color w:val="000000"/>
                <w:kern w:val="0"/>
                <w:sz w:val="22"/>
                <w:szCs w:val="22"/>
              </w:rPr>
            </w:pPr>
            <w:r>
              <w:rPr>
                <w:rFonts w:hint="eastAsia" w:ascii="仿宋" w:hAnsi="仿宋" w:eastAsia="仿宋" w:cs="Arial"/>
                <w:color w:val="000000"/>
                <w:kern w:val="0"/>
                <w:sz w:val="22"/>
                <w:szCs w:val="22"/>
              </w:rPr>
              <w:t>金额单位：元</w:t>
            </w:r>
          </w:p>
        </w:tc>
      </w:tr>
      <w:tr>
        <w:tblPrEx>
          <w:tblCellMar>
            <w:top w:w="0" w:type="dxa"/>
            <w:left w:w="108" w:type="dxa"/>
            <w:bottom w:w="0" w:type="dxa"/>
            <w:right w:w="108" w:type="dxa"/>
          </w:tblCellMar>
        </w:tblPrEx>
        <w:trPr>
          <w:gridAfter w:val="1"/>
          <w:wAfter w:w="354" w:type="pct"/>
          <w:trHeight w:val="308" w:hRule="atLeast"/>
        </w:trPr>
        <w:tc>
          <w:tcPr>
            <w:tcW w:w="1683"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925" w:type="pct"/>
            <w:gridSpan w:val="2"/>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本年收入合计</w:t>
            </w:r>
          </w:p>
        </w:tc>
        <w:tc>
          <w:tcPr>
            <w:tcW w:w="849" w:type="pct"/>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财政拨款收入</w:t>
            </w:r>
          </w:p>
        </w:tc>
        <w:tc>
          <w:tcPr>
            <w:tcW w:w="365" w:type="pct"/>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上级补助收入</w:t>
            </w:r>
          </w:p>
        </w:tc>
        <w:tc>
          <w:tcPr>
            <w:tcW w:w="206" w:type="pct"/>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事业收入</w:t>
            </w:r>
          </w:p>
        </w:tc>
        <w:tc>
          <w:tcPr>
            <w:tcW w:w="206" w:type="pct"/>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经营收入</w:t>
            </w:r>
          </w:p>
        </w:tc>
        <w:tc>
          <w:tcPr>
            <w:tcW w:w="206" w:type="pct"/>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附属单位上缴收入</w:t>
            </w:r>
          </w:p>
        </w:tc>
        <w:tc>
          <w:tcPr>
            <w:tcW w:w="206" w:type="pct"/>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其他收入</w:t>
            </w:r>
          </w:p>
        </w:tc>
      </w:tr>
      <w:tr>
        <w:tblPrEx>
          <w:tblCellMar>
            <w:top w:w="0" w:type="dxa"/>
            <w:left w:w="108" w:type="dxa"/>
            <w:bottom w:w="0" w:type="dxa"/>
            <w:right w:w="108" w:type="dxa"/>
          </w:tblCellMar>
        </w:tblPrEx>
        <w:trPr>
          <w:gridAfter w:val="1"/>
          <w:wAfter w:w="354" w:type="pct"/>
          <w:trHeight w:val="624" w:hRule="atLeast"/>
        </w:trPr>
        <w:tc>
          <w:tcPr>
            <w:tcW w:w="430" w:type="pct"/>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253" w:type="pct"/>
            <w:gridSpan w:val="2"/>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925" w:type="pct"/>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849"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65"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06"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06"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06"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06"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gridAfter w:val="1"/>
          <w:wAfter w:w="354" w:type="pct"/>
          <w:trHeight w:val="624" w:hRule="atLeast"/>
        </w:trPr>
        <w:tc>
          <w:tcPr>
            <w:tcW w:w="430"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53" w:type="pct"/>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925" w:type="pct"/>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849"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65"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06"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06"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06"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06"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gridAfter w:val="1"/>
          <w:wAfter w:w="354" w:type="pct"/>
          <w:trHeight w:val="624" w:hRule="atLeast"/>
        </w:trPr>
        <w:tc>
          <w:tcPr>
            <w:tcW w:w="430"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53" w:type="pct"/>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925" w:type="pct"/>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849"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65"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06"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06"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06"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06"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gridAfter w:val="1"/>
          <w:wAfter w:w="354" w:type="pct"/>
          <w:trHeight w:val="308" w:hRule="atLeast"/>
        </w:trPr>
        <w:tc>
          <w:tcPr>
            <w:tcW w:w="1683" w:type="pct"/>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925" w:type="pct"/>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849"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365"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206"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206"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06"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206"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r>
      <w:tr>
        <w:tblPrEx>
          <w:tblCellMar>
            <w:top w:w="0" w:type="dxa"/>
            <w:left w:w="108" w:type="dxa"/>
            <w:bottom w:w="0" w:type="dxa"/>
            <w:right w:w="108" w:type="dxa"/>
          </w:tblCellMar>
        </w:tblPrEx>
        <w:trPr>
          <w:gridAfter w:val="1"/>
          <w:wAfter w:w="354" w:type="pct"/>
          <w:trHeight w:val="308" w:hRule="atLeast"/>
        </w:trPr>
        <w:tc>
          <w:tcPr>
            <w:tcW w:w="1683" w:type="pct"/>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925"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3,706,268.46</w:t>
            </w:r>
          </w:p>
        </w:tc>
        <w:tc>
          <w:tcPr>
            <w:tcW w:w="8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3,706,268.46</w:t>
            </w:r>
          </w:p>
        </w:tc>
        <w:tc>
          <w:tcPr>
            <w:tcW w:w="365"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r>
      <w:tr>
        <w:tblPrEx>
          <w:tblCellMar>
            <w:top w:w="0" w:type="dxa"/>
            <w:left w:w="108" w:type="dxa"/>
            <w:bottom w:w="0" w:type="dxa"/>
            <w:right w:w="108" w:type="dxa"/>
          </w:tblCellMar>
        </w:tblPrEx>
        <w:trPr>
          <w:gridAfter w:val="1"/>
          <w:wAfter w:w="354" w:type="pct"/>
          <w:trHeight w:val="308" w:hRule="atLeast"/>
        </w:trPr>
        <w:tc>
          <w:tcPr>
            <w:tcW w:w="600"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w:t>
            </w:r>
          </w:p>
        </w:tc>
        <w:tc>
          <w:tcPr>
            <w:tcW w:w="1083"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一般公共服务支出</w:t>
            </w:r>
          </w:p>
        </w:tc>
        <w:tc>
          <w:tcPr>
            <w:tcW w:w="925"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3,142,680.46</w:t>
            </w:r>
          </w:p>
        </w:tc>
        <w:tc>
          <w:tcPr>
            <w:tcW w:w="8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3,142,680.46</w:t>
            </w:r>
          </w:p>
        </w:tc>
        <w:tc>
          <w:tcPr>
            <w:tcW w:w="365"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4" w:type="pct"/>
          <w:trHeight w:val="308" w:hRule="atLeast"/>
        </w:trPr>
        <w:tc>
          <w:tcPr>
            <w:tcW w:w="600"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20103</w:t>
            </w:r>
          </w:p>
        </w:tc>
        <w:tc>
          <w:tcPr>
            <w:tcW w:w="1083"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政府办公厅（室）及相关机构事务</w:t>
            </w:r>
          </w:p>
        </w:tc>
        <w:tc>
          <w:tcPr>
            <w:tcW w:w="925"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3,142,680.46</w:t>
            </w:r>
          </w:p>
        </w:tc>
        <w:tc>
          <w:tcPr>
            <w:tcW w:w="8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3,142,680.46</w:t>
            </w:r>
          </w:p>
        </w:tc>
        <w:tc>
          <w:tcPr>
            <w:tcW w:w="365"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4" w:type="pct"/>
          <w:trHeight w:val="308" w:hRule="atLeast"/>
        </w:trPr>
        <w:tc>
          <w:tcPr>
            <w:tcW w:w="600"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2010350</w:t>
            </w:r>
          </w:p>
        </w:tc>
        <w:tc>
          <w:tcPr>
            <w:tcW w:w="1083"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事业运行</w:t>
            </w:r>
          </w:p>
        </w:tc>
        <w:tc>
          <w:tcPr>
            <w:tcW w:w="925"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1,802,946.44</w:t>
            </w:r>
          </w:p>
        </w:tc>
        <w:tc>
          <w:tcPr>
            <w:tcW w:w="8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1,802,946.44</w:t>
            </w:r>
          </w:p>
        </w:tc>
        <w:tc>
          <w:tcPr>
            <w:tcW w:w="365"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4" w:type="pct"/>
          <w:trHeight w:val="308" w:hRule="atLeast"/>
        </w:trPr>
        <w:tc>
          <w:tcPr>
            <w:tcW w:w="600"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2010399</w:t>
            </w:r>
          </w:p>
        </w:tc>
        <w:tc>
          <w:tcPr>
            <w:tcW w:w="1083"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其他政府办公厅（室）及相关机构事务支出</w:t>
            </w:r>
          </w:p>
        </w:tc>
        <w:tc>
          <w:tcPr>
            <w:tcW w:w="925"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1,339,734.02</w:t>
            </w:r>
          </w:p>
        </w:tc>
        <w:tc>
          <w:tcPr>
            <w:tcW w:w="8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1,339,734.02</w:t>
            </w:r>
          </w:p>
        </w:tc>
        <w:tc>
          <w:tcPr>
            <w:tcW w:w="365"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4" w:type="pct"/>
          <w:trHeight w:val="308" w:hRule="atLeast"/>
        </w:trPr>
        <w:tc>
          <w:tcPr>
            <w:tcW w:w="600"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w:t>
            </w:r>
          </w:p>
        </w:tc>
        <w:tc>
          <w:tcPr>
            <w:tcW w:w="1083"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社会保障和就业支出</w:t>
            </w:r>
          </w:p>
        </w:tc>
        <w:tc>
          <w:tcPr>
            <w:tcW w:w="925"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259,790.00</w:t>
            </w:r>
          </w:p>
        </w:tc>
        <w:tc>
          <w:tcPr>
            <w:tcW w:w="8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259,790.00</w:t>
            </w:r>
          </w:p>
        </w:tc>
        <w:tc>
          <w:tcPr>
            <w:tcW w:w="365"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4" w:type="pct"/>
          <w:trHeight w:val="308" w:hRule="atLeast"/>
        </w:trPr>
        <w:tc>
          <w:tcPr>
            <w:tcW w:w="600"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w:t>
            </w:r>
          </w:p>
        </w:tc>
        <w:tc>
          <w:tcPr>
            <w:tcW w:w="1083"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行政事业单位养老支出</w:t>
            </w:r>
          </w:p>
        </w:tc>
        <w:tc>
          <w:tcPr>
            <w:tcW w:w="925"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259,790.00</w:t>
            </w:r>
          </w:p>
        </w:tc>
        <w:tc>
          <w:tcPr>
            <w:tcW w:w="8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259,790.00</w:t>
            </w:r>
          </w:p>
        </w:tc>
        <w:tc>
          <w:tcPr>
            <w:tcW w:w="365"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4" w:type="pct"/>
          <w:trHeight w:val="308" w:hRule="atLeast"/>
        </w:trPr>
        <w:tc>
          <w:tcPr>
            <w:tcW w:w="600"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2080505</w:t>
            </w:r>
          </w:p>
        </w:tc>
        <w:tc>
          <w:tcPr>
            <w:tcW w:w="1083"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机关事业单位基本养老保险缴费支出</w:t>
            </w:r>
          </w:p>
        </w:tc>
        <w:tc>
          <w:tcPr>
            <w:tcW w:w="925"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259,790.00</w:t>
            </w:r>
          </w:p>
        </w:tc>
        <w:tc>
          <w:tcPr>
            <w:tcW w:w="8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259,790.00</w:t>
            </w:r>
          </w:p>
        </w:tc>
        <w:tc>
          <w:tcPr>
            <w:tcW w:w="365"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4" w:type="pct"/>
          <w:trHeight w:val="308" w:hRule="atLeast"/>
        </w:trPr>
        <w:tc>
          <w:tcPr>
            <w:tcW w:w="600"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w:t>
            </w:r>
          </w:p>
        </w:tc>
        <w:tc>
          <w:tcPr>
            <w:tcW w:w="1083"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卫生健康支出</w:t>
            </w:r>
          </w:p>
        </w:tc>
        <w:tc>
          <w:tcPr>
            <w:tcW w:w="925"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104,198.00</w:t>
            </w:r>
          </w:p>
        </w:tc>
        <w:tc>
          <w:tcPr>
            <w:tcW w:w="8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104,198.00</w:t>
            </w:r>
          </w:p>
        </w:tc>
        <w:tc>
          <w:tcPr>
            <w:tcW w:w="365"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4" w:type="pct"/>
          <w:trHeight w:val="308" w:hRule="atLeast"/>
        </w:trPr>
        <w:tc>
          <w:tcPr>
            <w:tcW w:w="600"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21011</w:t>
            </w:r>
          </w:p>
        </w:tc>
        <w:tc>
          <w:tcPr>
            <w:tcW w:w="1083"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行政事业单位医疗</w:t>
            </w:r>
          </w:p>
        </w:tc>
        <w:tc>
          <w:tcPr>
            <w:tcW w:w="925"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104,198.00</w:t>
            </w:r>
          </w:p>
        </w:tc>
        <w:tc>
          <w:tcPr>
            <w:tcW w:w="8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104,198.00</w:t>
            </w:r>
          </w:p>
        </w:tc>
        <w:tc>
          <w:tcPr>
            <w:tcW w:w="365"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4" w:type="pct"/>
          <w:trHeight w:val="308" w:hRule="atLeast"/>
        </w:trPr>
        <w:tc>
          <w:tcPr>
            <w:tcW w:w="600"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2101102</w:t>
            </w:r>
          </w:p>
        </w:tc>
        <w:tc>
          <w:tcPr>
            <w:tcW w:w="1083"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事业单位医疗</w:t>
            </w:r>
          </w:p>
        </w:tc>
        <w:tc>
          <w:tcPr>
            <w:tcW w:w="925"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57,449.00</w:t>
            </w:r>
          </w:p>
        </w:tc>
        <w:tc>
          <w:tcPr>
            <w:tcW w:w="8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57,449.00</w:t>
            </w:r>
          </w:p>
        </w:tc>
        <w:tc>
          <w:tcPr>
            <w:tcW w:w="365"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4" w:type="pct"/>
          <w:trHeight w:val="308" w:hRule="atLeast"/>
        </w:trPr>
        <w:tc>
          <w:tcPr>
            <w:tcW w:w="600"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2101103</w:t>
            </w:r>
          </w:p>
        </w:tc>
        <w:tc>
          <w:tcPr>
            <w:tcW w:w="1083"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公务员医疗补助</w:t>
            </w:r>
          </w:p>
        </w:tc>
        <w:tc>
          <w:tcPr>
            <w:tcW w:w="925"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46,749.00</w:t>
            </w:r>
          </w:p>
        </w:tc>
        <w:tc>
          <w:tcPr>
            <w:tcW w:w="8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46,749.00</w:t>
            </w:r>
          </w:p>
        </w:tc>
        <w:tc>
          <w:tcPr>
            <w:tcW w:w="365"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4" w:type="pct"/>
          <w:trHeight w:val="308" w:hRule="atLeast"/>
        </w:trPr>
        <w:tc>
          <w:tcPr>
            <w:tcW w:w="600"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w:t>
            </w:r>
          </w:p>
        </w:tc>
        <w:tc>
          <w:tcPr>
            <w:tcW w:w="1083"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住房保障支出</w:t>
            </w:r>
          </w:p>
        </w:tc>
        <w:tc>
          <w:tcPr>
            <w:tcW w:w="925"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199,600.00</w:t>
            </w:r>
          </w:p>
        </w:tc>
        <w:tc>
          <w:tcPr>
            <w:tcW w:w="8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199,600.00</w:t>
            </w:r>
          </w:p>
        </w:tc>
        <w:tc>
          <w:tcPr>
            <w:tcW w:w="365"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4" w:type="pct"/>
          <w:trHeight w:val="308" w:hRule="atLeast"/>
        </w:trPr>
        <w:tc>
          <w:tcPr>
            <w:tcW w:w="600"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22102</w:t>
            </w:r>
          </w:p>
        </w:tc>
        <w:tc>
          <w:tcPr>
            <w:tcW w:w="1083"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住房改革支出</w:t>
            </w:r>
          </w:p>
        </w:tc>
        <w:tc>
          <w:tcPr>
            <w:tcW w:w="925"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199,600.00</w:t>
            </w:r>
          </w:p>
        </w:tc>
        <w:tc>
          <w:tcPr>
            <w:tcW w:w="8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199,600.00</w:t>
            </w:r>
          </w:p>
        </w:tc>
        <w:tc>
          <w:tcPr>
            <w:tcW w:w="365"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4" w:type="pct"/>
          <w:trHeight w:val="308" w:hRule="atLeast"/>
        </w:trPr>
        <w:tc>
          <w:tcPr>
            <w:tcW w:w="600"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2210201</w:t>
            </w:r>
          </w:p>
        </w:tc>
        <w:tc>
          <w:tcPr>
            <w:tcW w:w="1083"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住房公积金</w:t>
            </w:r>
          </w:p>
        </w:tc>
        <w:tc>
          <w:tcPr>
            <w:tcW w:w="925"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199,600.00</w:t>
            </w:r>
          </w:p>
        </w:tc>
        <w:tc>
          <w:tcPr>
            <w:tcW w:w="8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199,600.00</w:t>
            </w:r>
          </w:p>
        </w:tc>
        <w:tc>
          <w:tcPr>
            <w:tcW w:w="365"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bl>
    <w:p>
      <w:pPr>
        <w:rPr>
          <w:rFonts w:ascii="仿宋" w:hAnsi="仿宋" w:eastAsia="仿宋"/>
          <w:sz w:val="22"/>
          <w:szCs w:val="22"/>
        </w:rPr>
      </w:pPr>
      <w:r>
        <w:rPr>
          <w:rFonts w:hint="eastAsia" w:ascii="仿宋" w:hAnsi="仿宋" w:eastAsia="仿宋" w:cs="宋体"/>
          <w:kern w:val="0"/>
          <w:sz w:val="22"/>
          <w:szCs w:val="22"/>
        </w:rPr>
        <w:t>注：本表依据《收入决算批复表》（公开02表）进行公开。</w:t>
      </w:r>
      <w:r>
        <w:rPr>
          <w:rFonts w:hint="eastAsia" w:ascii="仿宋" w:hAnsi="仿宋" w:eastAsia="仿宋"/>
          <w:sz w:val="22"/>
          <w:szCs w:val="22"/>
        </w:rPr>
        <w:t>本表反映部门本年度取得的各项收入情况。</w:t>
      </w:r>
    </w:p>
    <w:p>
      <w:pPr>
        <w:rPr>
          <w:rFonts w:ascii="仿宋" w:hAnsi="仿宋" w:eastAsia="仿宋"/>
          <w:sz w:val="22"/>
          <w:szCs w:val="22"/>
        </w:rPr>
      </w:pPr>
    </w:p>
    <w:p>
      <w:pPr>
        <w:jc w:val="center"/>
        <w:rPr>
          <w:rFonts w:ascii="仿宋" w:hAnsi="仿宋" w:eastAsia="仿宋" w:cs="宋体"/>
          <w:kern w:val="0"/>
          <w:sz w:val="22"/>
          <w:szCs w:val="22"/>
        </w:rPr>
      </w:pPr>
      <w:r>
        <w:rPr>
          <w:rFonts w:hint="eastAsia" w:ascii="仿宋" w:hAnsi="仿宋" w:eastAsia="仿宋" w:cs="宋体"/>
          <w:kern w:val="0"/>
          <w:sz w:val="22"/>
          <w:szCs w:val="22"/>
        </w:rPr>
        <w:t>表三：支出决算表</w:t>
      </w:r>
    </w:p>
    <w:tbl>
      <w:tblPr>
        <w:tblStyle w:val="5"/>
        <w:tblW w:w="5386" w:type="pct"/>
        <w:tblInd w:w="0" w:type="dxa"/>
        <w:tblLayout w:type="fixed"/>
        <w:tblCellMar>
          <w:top w:w="0" w:type="dxa"/>
          <w:left w:w="108" w:type="dxa"/>
          <w:bottom w:w="0" w:type="dxa"/>
          <w:right w:w="108" w:type="dxa"/>
        </w:tblCellMar>
      </w:tblPr>
      <w:tblGrid>
        <w:gridCol w:w="745"/>
        <w:gridCol w:w="356"/>
        <w:gridCol w:w="1559"/>
        <w:gridCol w:w="1467"/>
        <w:gridCol w:w="92"/>
        <w:gridCol w:w="1559"/>
        <w:gridCol w:w="1700"/>
        <w:gridCol w:w="316"/>
        <w:gridCol w:w="367"/>
        <w:gridCol w:w="367"/>
        <w:gridCol w:w="652"/>
      </w:tblGrid>
      <w:tr>
        <w:tblPrEx>
          <w:tblCellMar>
            <w:top w:w="0" w:type="dxa"/>
            <w:left w:w="108" w:type="dxa"/>
            <w:bottom w:w="0" w:type="dxa"/>
            <w:right w:w="108" w:type="dxa"/>
          </w:tblCellMar>
        </w:tblPrEx>
        <w:trPr>
          <w:trHeight w:val="255" w:hRule="atLeast"/>
        </w:trPr>
        <w:tc>
          <w:tcPr>
            <w:tcW w:w="2248" w:type="pct"/>
            <w:gridSpan w:val="4"/>
            <w:tcBorders>
              <w:top w:val="nil"/>
              <w:left w:val="nil"/>
              <w:bottom w:val="nil"/>
              <w:right w:val="nil"/>
            </w:tcBorders>
            <w:noWrap/>
            <w:vAlign w:val="bottom"/>
          </w:tcPr>
          <w:p>
            <w:pPr>
              <w:widowControl/>
              <w:jc w:val="left"/>
              <w:rPr>
                <w:rFonts w:ascii="仿宋" w:hAnsi="仿宋" w:eastAsia="仿宋" w:cs="Arial"/>
                <w:color w:val="000000"/>
                <w:kern w:val="0"/>
                <w:sz w:val="22"/>
                <w:szCs w:val="22"/>
              </w:rPr>
            </w:pPr>
            <w:r>
              <w:rPr>
                <w:rFonts w:hint="eastAsia" w:ascii="仿宋" w:hAnsi="仿宋" w:eastAsia="仿宋" w:cs="Arial"/>
                <w:color w:val="000000"/>
                <w:kern w:val="0"/>
                <w:sz w:val="22"/>
                <w:szCs w:val="22"/>
              </w:rPr>
              <w:t>部门：防城港市公共资源交易中心</w:t>
            </w:r>
          </w:p>
        </w:tc>
        <w:tc>
          <w:tcPr>
            <w:tcW w:w="2752" w:type="pct"/>
            <w:gridSpan w:val="7"/>
            <w:tcBorders>
              <w:top w:val="nil"/>
              <w:left w:val="nil"/>
              <w:bottom w:val="nil"/>
              <w:right w:val="nil"/>
            </w:tcBorders>
            <w:noWrap/>
            <w:vAlign w:val="bottom"/>
          </w:tcPr>
          <w:p>
            <w:pPr>
              <w:widowControl/>
              <w:ind w:right="800" w:firstLine="2420" w:firstLineChars="1100"/>
              <w:rPr>
                <w:rFonts w:ascii="仿宋" w:hAnsi="仿宋" w:eastAsia="仿宋" w:cs="Arial"/>
                <w:color w:val="000000"/>
                <w:kern w:val="0"/>
                <w:sz w:val="22"/>
                <w:szCs w:val="22"/>
              </w:rPr>
            </w:pPr>
            <w:r>
              <w:rPr>
                <w:rFonts w:hint="eastAsia" w:ascii="仿宋" w:hAnsi="仿宋" w:eastAsia="仿宋" w:cs="Arial"/>
                <w:color w:val="000000"/>
                <w:kern w:val="0"/>
                <w:sz w:val="22"/>
                <w:szCs w:val="22"/>
              </w:rPr>
              <w:t>金额单位：元</w:t>
            </w:r>
          </w:p>
        </w:tc>
      </w:tr>
      <w:tr>
        <w:tblPrEx>
          <w:tblCellMar>
            <w:top w:w="0" w:type="dxa"/>
            <w:left w:w="108" w:type="dxa"/>
            <w:bottom w:w="0" w:type="dxa"/>
            <w:right w:w="108" w:type="dxa"/>
          </w:tblCellMar>
        </w:tblPrEx>
        <w:trPr>
          <w:gridAfter w:val="1"/>
          <w:wAfter w:w="355" w:type="pct"/>
          <w:trHeight w:val="308" w:hRule="atLeast"/>
        </w:trPr>
        <w:tc>
          <w:tcPr>
            <w:tcW w:w="1449"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849" w:type="pct"/>
            <w:gridSpan w:val="2"/>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849" w:type="pct"/>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926" w:type="pct"/>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72" w:type="pct"/>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200" w:type="pct"/>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200" w:type="pct"/>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CellMar>
            <w:top w:w="0" w:type="dxa"/>
            <w:left w:w="108" w:type="dxa"/>
            <w:bottom w:w="0" w:type="dxa"/>
            <w:right w:w="108" w:type="dxa"/>
          </w:tblCellMar>
        </w:tblPrEx>
        <w:trPr>
          <w:gridAfter w:val="1"/>
          <w:wAfter w:w="355" w:type="pct"/>
          <w:trHeight w:val="624" w:hRule="atLeast"/>
        </w:trPr>
        <w:tc>
          <w:tcPr>
            <w:tcW w:w="406" w:type="pct"/>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043" w:type="pct"/>
            <w:gridSpan w:val="2"/>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849" w:type="pct"/>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849"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926"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2"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00"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00"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gridAfter w:val="1"/>
          <w:wAfter w:w="355" w:type="pct"/>
          <w:trHeight w:val="624" w:hRule="atLeast"/>
        </w:trPr>
        <w:tc>
          <w:tcPr>
            <w:tcW w:w="406"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43" w:type="pct"/>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849" w:type="pct"/>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849"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926"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2"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00"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00"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gridAfter w:val="1"/>
          <w:wAfter w:w="355" w:type="pct"/>
          <w:trHeight w:val="624" w:hRule="atLeast"/>
        </w:trPr>
        <w:tc>
          <w:tcPr>
            <w:tcW w:w="406"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43" w:type="pct"/>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849" w:type="pct"/>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849"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926"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2"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00"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00"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gridAfter w:val="1"/>
          <w:wAfter w:w="355" w:type="pct"/>
          <w:trHeight w:val="308" w:hRule="atLeast"/>
        </w:trPr>
        <w:tc>
          <w:tcPr>
            <w:tcW w:w="1449" w:type="pct"/>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849" w:type="pct"/>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849"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926"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72"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200"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00"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gridAfter w:val="1"/>
          <w:wAfter w:w="355" w:type="pct"/>
          <w:trHeight w:val="308" w:hRule="atLeast"/>
        </w:trPr>
        <w:tc>
          <w:tcPr>
            <w:tcW w:w="1449" w:type="pct"/>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849"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3,676,897.07</w:t>
            </w:r>
          </w:p>
        </w:tc>
        <w:tc>
          <w:tcPr>
            <w:tcW w:w="8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2,337,163.05</w:t>
            </w:r>
          </w:p>
        </w:tc>
        <w:tc>
          <w:tcPr>
            <w:tcW w:w="92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1,339,734.02</w:t>
            </w:r>
          </w:p>
        </w:tc>
        <w:tc>
          <w:tcPr>
            <w:tcW w:w="1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2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2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r>
      <w:tr>
        <w:tblPrEx>
          <w:tblCellMar>
            <w:top w:w="0" w:type="dxa"/>
            <w:left w:w="108" w:type="dxa"/>
            <w:bottom w:w="0" w:type="dxa"/>
            <w:right w:w="108" w:type="dxa"/>
          </w:tblCellMar>
        </w:tblPrEx>
        <w:trPr>
          <w:gridAfter w:val="1"/>
          <w:wAfter w:w="355" w:type="pct"/>
          <w:trHeight w:val="308" w:hRule="atLeast"/>
        </w:trPr>
        <w:tc>
          <w:tcPr>
            <w:tcW w:w="600"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w:t>
            </w:r>
          </w:p>
        </w:tc>
        <w:tc>
          <w:tcPr>
            <w:tcW w:w="849"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一般公共服务支出</w:t>
            </w:r>
          </w:p>
        </w:tc>
        <w:tc>
          <w:tcPr>
            <w:tcW w:w="849"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3,141,607.82</w:t>
            </w:r>
          </w:p>
        </w:tc>
        <w:tc>
          <w:tcPr>
            <w:tcW w:w="8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1,801,873.80</w:t>
            </w:r>
          </w:p>
        </w:tc>
        <w:tc>
          <w:tcPr>
            <w:tcW w:w="92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1,339,734.02</w:t>
            </w:r>
          </w:p>
        </w:tc>
        <w:tc>
          <w:tcPr>
            <w:tcW w:w="1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5" w:type="pct"/>
          <w:trHeight w:val="308" w:hRule="atLeast"/>
        </w:trPr>
        <w:tc>
          <w:tcPr>
            <w:tcW w:w="600"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20103</w:t>
            </w:r>
          </w:p>
        </w:tc>
        <w:tc>
          <w:tcPr>
            <w:tcW w:w="849"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政府办公厅（室）及相关机构事务</w:t>
            </w:r>
          </w:p>
        </w:tc>
        <w:tc>
          <w:tcPr>
            <w:tcW w:w="849"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3,141,607.82</w:t>
            </w:r>
          </w:p>
        </w:tc>
        <w:tc>
          <w:tcPr>
            <w:tcW w:w="8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1,801,873.80</w:t>
            </w:r>
          </w:p>
        </w:tc>
        <w:tc>
          <w:tcPr>
            <w:tcW w:w="92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1,339,734.02</w:t>
            </w:r>
          </w:p>
        </w:tc>
        <w:tc>
          <w:tcPr>
            <w:tcW w:w="1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5" w:type="pct"/>
          <w:trHeight w:val="308" w:hRule="atLeast"/>
        </w:trPr>
        <w:tc>
          <w:tcPr>
            <w:tcW w:w="600"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2010350</w:t>
            </w:r>
          </w:p>
        </w:tc>
        <w:tc>
          <w:tcPr>
            <w:tcW w:w="849"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事业运行</w:t>
            </w:r>
          </w:p>
        </w:tc>
        <w:tc>
          <w:tcPr>
            <w:tcW w:w="849"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1,801,873.80</w:t>
            </w:r>
          </w:p>
        </w:tc>
        <w:tc>
          <w:tcPr>
            <w:tcW w:w="8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1,801,873.80</w:t>
            </w:r>
          </w:p>
        </w:tc>
        <w:tc>
          <w:tcPr>
            <w:tcW w:w="92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5" w:type="pct"/>
          <w:trHeight w:val="308" w:hRule="atLeast"/>
        </w:trPr>
        <w:tc>
          <w:tcPr>
            <w:tcW w:w="600"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2010399</w:t>
            </w:r>
          </w:p>
        </w:tc>
        <w:tc>
          <w:tcPr>
            <w:tcW w:w="849"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其他政府办公厅（室）及相关机构事务支出</w:t>
            </w:r>
          </w:p>
        </w:tc>
        <w:tc>
          <w:tcPr>
            <w:tcW w:w="849"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1,339,734.02</w:t>
            </w:r>
          </w:p>
        </w:tc>
        <w:tc>
          <w:tcPr>
            <w:tcW w:w="8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2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1,339,734.02</w:t>
            </w:r>
          </w:p>
        </w:tc>
        <w:tc>
          <w:tcPr>
            <w:tcW w:w="1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5" w:type="pct"/>
          <w:trHeight w:val="308" w:hRule="atLeast"/>
        </w:trPr>
        <w:tc>
          <w:tcPr>
            <w:tcW w:w="600"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w:t>
            </w:r>
          </w:p>
        </w:tc>
        <w:tc>
          <w:tcPr>
            <w:tcW w:w="849"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社会保障和就业支出</w:t>
            </w:r>
          </w:p>
        </w:tc>
        <w:tc>
          <w:tcPr>
            <w:tcW w:w="849"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234,031.13</w:t>
            </w:r>
          </w:p>
        </w:tc>
        <w:tc>
          <w:tcPr>
            <w:tcW w:w="8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234,031.13</w:t>
            </w:r>
          </w:p>
        </w:tc>
        <w:tc>
          <w:tcPr>
            <w:tcW w:w="92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5" w:type="pct"/>
          <w:trHeight w:val="308" w:hRule="atLeast"/>
        </w:trPr>
        <w:tc>
          <w:tcPr>
            <w:tcW w:w="600"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w:t>
            </w:r>
          </w:p>
        </w:tc>
        <w:tc>
          <w:tcPr>
            <w:tcW w:w="849"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行政事业单位养老支出</w:t>
            </w:r>
          </w:p>
        </w:tc>
        <w:tc>
          <w:tcPr>
            <w:tcW w:w="849"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234,031.13</w:t>
            </w:r>
          </w:p>
        </w:tc>
        <w:tc>
          <w:tcPr>
            <w:tcW w:w="8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234,031.13</w:t>
            </w:r>
          </w:p>
        </w:tc>
        <w:tc>
          <w:tcPr>
            <w:tcW w:w="92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5" w:type="pct"/>
          <w:trHeight w:val="308" w:hRule="atLeast"/>
        </w:trPr>
        <w:tc>
          <w:tcPr>
            <w:tcW w:w="600"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2080505</w:t>
            </w:r>
          </w:p>
        </w:tc>
        <w:tc>
          <w:tcPr>
            <w:tcW w:w="849"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机关事业单位基本养老保险缴费支出</w:t>
            </w:r>
          </w:p>
        </w:tc>
        <w:tc>
          <w:tcPr>
            <w:tcW w:w="849"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234,031.13</w:t>
            </w:r>
          </w:p>
        </w:tc>
        <w:tc>
          <w:tcPr>
            <w:tcW w:w="8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234,031.13</w:t>
            </w:r>
          </w:p>
        </w:tc>
        <w:tc>
          <w:tcPr>
            <w:tcW w:w="92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5" w:type="pct"/>
          <w:trHeight w:val="308" w:hRule="atLeast"/>
        </w:trPr>
        <w:tc>
          <w:tcPr>
            <w:tcW w:w="600"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w:t>
            </w:r>
          </w:p>
        </w:tc>
        <w:tc>
          <w:tcPr>
            <w:tcW w:w="849"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卫生健康支出</w:t>
            </w:r>
          </w:p>
        </w:tc>
        <w:tc>
          <w:tcPr>
            <w:tcW w:w="849"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101,658.12</w:t>
            </w:r>
          </w:p>
        </w:tc>
        <w:tc>
          <w:tcPr>
            <w:tcW w:w="8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101,658.12</w:t>
            </w:r>
          </w:p>
        </w:tc>
        <w:tc>
          <w:tcPr>
            <w:tcW w:w="92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5" w:type="pct"/>
          <w:trHeight w:val="308" w:hRule="atLeast"/>
        </w:trPr>
        <w:tc>
          <w:tcPr>
            <w:tcW w:w="600"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21011</w:t>
            </w:r>
          </w:p>
        </w:tc>
        <w:tc>
          <w:tcPr>
            <w:tcW w:w="849"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行政事业单位医疗</w:t>
            </w:r>
          </w:p>
        </w:tc>
        <w:tc>
          <w:tcPr>
            <w:tcW w:w="849"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101,658.12</w:t>
            </w:r>
          </w:p>
        </w:tc>
        <w:tc>
          <w:tcPr>
            <w:tcW w:w="8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101,658.12</w:t>
            </w:r>
          </w:p>
        </w:tc>
        <w:tc>
          <w:tcPr>
            <w:tcW w:w="92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5" w:type="pct"/>
          <w:trHeight w:val="308" w:hRule="atLeast"/>
        </w:trPr>
        <w:tc>
          <w:tcPr>
            <w:tcW w:w="600"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2101102</w:t>
            </w:r>
          </w:p>
        </w:tc>
        <w:tc>
          <w:tcPr>
            <w:tcW w:w="849"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事业单位医疗</w:t>
            </w:r>
          </w:p>
        </w:tc>
        <w:tc>
          <w:tcPr>
            <w:tcW w:w="849"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56,063.52</w:t>
            </w:r>
          </w:p>
        </w:tc>
        <w:tc>
          <w:tcPr>
            <w:tcW w:w="8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56,063.52</w:t>
            </w:r>
          </w:p>
        </w:tc>
        <w:tc>
          <w:tcPr>
            <w:tcW w:w="92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5" w:type="pct"/>
          <w:trHeight w:val="308" w:hRule="atLeast"/>
        </w:trPr>
        <w:tc>
          <w:tcPr>
            <w:tcW w:w="600"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2101103</w:t>
            </w:r>
          </w:p>
        </w:tc>
        <w:tc>
          <w:tcPr>
            <w:tcW w:w="849"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公务员医疗补助</w:t>
            </w:r>
          </w:p>
        </w:tc>
        <w:tc>
          <w:tcPr>
            <w:tcW w:w="849"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45,594.60</w:t>
            </w:r>
          </w:p>
        </w:tc>
        <w:tc>
          <w:tcPr>
            <w:tcW w:w="8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45,594.60</w:t>
            </w:r>
          </w:p>
        </w:tc>
        <w:tc>
          <w:tcPr>
            <w:tcW w:w="92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5" w:type="pct"/>
          <w:trHeight w:val="308" w:hRule="atLeast"/>
        </w:trPr>
        <w:tc>
          <w:tcPr>
            <w:tcW w:w="600"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w:t>
            </w:r>
          </w:p>
        </w:tc>
        <w:tc>
          <w:tcPr>
            <w:tcW w:w="849"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住房保障支出</w:t>
            </w:r>
          </w:p>
        </w:tc>
        <w:tc>
          <w:tcPr>
            <w:tcW w:w="849"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199,600.00</w:t>
            </w:r>
          </w:p>
        </w:tc>
        <w:tc>
          <w:tcPr>
            <w:tcW w:w="8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199,600.00</w:t>
            </w:r>
          </w:p>
        </w:tc>
        <w:tc>
          <w:tcPr>
            <w:tcW w:w="92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5" w:type="pct"/>
          <w:trHeight w:val="308" w:hRule="atLeast"/>
        </w:trPr>
        <w:tc>
          <w:tcPr>
            <w:tcW w:w="600"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22102</w:t>
            </w:r>
          </w:p>
        </w:tc>
        <w:tc>
          <w:tcPr>
            <w:tcW w:w="849"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住房改革支出</w:t>
            </w:r>
          </w:p>
        </w:tc>
        <w:tc>
          <w:tcPr>
            <w:tcW w:w="849"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199,600.00</w:t>
            </w:r>
          </w:p>
        </w:tc>
        <w:tc>
          <w:tcPr>
            <w:tcW w:w="8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199,600.00</w:t>
            </w:r>
          </w:p>
        </w:tc>
        <w:tc>
          <w:tcPr>
            <w:tcW w:w="92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5" w:type="pct"/>
          <w:trHeight w:val="308" w:hRule="atLeast"/>
        </w:trPr>
        <w:tc>
          <w:tcPr>
            <w:tcW w:w="600"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2210201</w:t>
            </w:r>
          </w:p>
        </w:tc>
        <w:tc>
          <w:tcPr>
            <w:tcW w:w="849"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住房公积金</w:t>
            </w:r>
          </w:p>
        </w:tc>
        <w:tc>
          <w:tcPr>
            <w:tcW w:w="849"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199,600.00</w:t>
            </w:r>
          </w:p>
        </w:tc>
        <w:tc>
          <w:tcPr>
            <w:tcW w:w="8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199,600.00</w:t>
            </w:r>
          </w:p>
        </w:tc>
        <w:tc>
          <w:tcPr>
            <w:tcW w:w="92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bl>
    <w:p>
      <w:pPr>
        <w:rPr>
          <w:rFonts w:ascii="仿宋" w:hAnsi="仿宋" w:eastAsia="仿宋"/>
          <w:sz w:val="22"/>
          <w:szCs w:val="22"/>
        </w:rPr>
      </w:pPr>
      <w:r>
        <w:rPr>
          <w:rFonts w:hint="eastAsia" w:ascii="仿宋" w:hAnsi="仿宋" w:eastAsia="仿宋" w:cs="宋体"/>
          <w:kern w:val="0"/>
          <w:sz w:val="22"/>
          <w:szCs w:val="22"/>
        </w:rPr>
        <w:t>注：本表依据《支出决算批复表》（公开03表）进行公开。</w:t>
      </w:r>
      <w:r>
        <w:rPr>
          <w:rFonts w:hint="eastAsia" w:ascii="仿宋" w:hAnsi="仿宋" w:eastAsia="仿宋"/>
          <w:sz w:val="22"/>
          <w:szCs w:val="22"/>
        </w:rPr>
        <w:t>本表反映部门本年度各项支出情况。</w:t>
      </w:r>
    </w:p>
    <w:p>
      <w:pPr>
        <w:jc w:val="center"/>
        <w:rPr>
          <w:rFonts w:ascii="仿宋" w:hAnsi="仿宋" w:eastAsia="仿宋" w:cs="宋体"/>
          <w:kern w:val="0"/>
          <w:sz w:val="22"/>
          <w:szCs w:val="22"/>
        </w:rPr>
      </w:pPr>
    </w:p>
    <w:p>
      <w:pPr>
        <w:jc w:val="center"/>
        <w:rPr>
          <w:rFonts w:ascii="仿宋" w:hAnsi="仿宋" w:eastAsia="仿宋" w:cs="宋体"/>
          <w:kern w:val="0"/>
          <w:sz w:val="22"/>
          <w:szCs w:val="22"/>
        </w:rPr>
      </w:pPr>
      <w:r>
        <w:rPr>
          <w:rFonts w:hint="eastAsia" w:ascii="仿宋" w:hAnsi="仿宋" w:eastAsia="仿宋" w:cs="宋体"/>
          <w:kern w:val="0"/>
          <w:sz w:val="22"/>
          <w:szCs w:val="22"/>
        </w:rPr>
        <w:t>表四：一般公共预算财政拨款收入支出决算总表</w:t>
      </w:r>
    </w:p>
    <w:tbl>
      <w:tblPr>
        <w:tblStyle w:val="5"/>
        <w:tblW w:w="5386" w:type="pct"/>
        <w:tblInd w:w="0" w:type="dxa"/>
        <w:tblLayout w:type="fixed"/>
        <w:tblCellMar>
          <w:top w:w="0" w:type="dxa"/>
          <w:left w:w="108" w:type="dxa"/>
          <w:bottom w:w="0" w:type="dxa"/>
          <w:right w:w="108" w:type="dxa"/>
        </w:tblCellMar>
      </w:tblPr>
      <w:tblGrid>
        <w:gridCol w:w="1385"/>
        <w:gridCol w:w="424"/>
        <w:gridCol w:w="1384"/>
        <w:gridCol w:w="931"/>
        <w:gridCol w:w="239"/>
        <w:gridCol w:w="424"/>
        <w:gridCol w:w="1419"/>
        <w:gridCol w:w="1274"/>
        <w:gridCol w:w="567"/>
        <w:gridCol w:w="483"/>
        <w:gridCol w:w="650"/>
      </w:tblGrid>
      <w:tr>
        <w:tblPrEx>
          <w:tblCellMar>
            <w:top w:w="0" w:type="dxa"/>
            <w:left w:w="108" w:type="dxa"/>
            <w:bottom w:w="0" w:type="dxa"/>
            <w:right w:w="108" w:type="dxa"/>
          </w:tblCellMar>
        </w:tblPrEx>
        <w:trPr>
          <w:trHeight w:val="255" w:hRule="atLeast"/>
        </w:trPr>
        <w:tc>
          <w:tcPr>
            <w:tcW w:w="2246" w:type="pct"/>
            <w:gridSpan w:val="4"/>
            <w:tcBorders>
              <w:top w:val="nil"/>
              <w:left w:val="nil"/>
              <w:bottom w:val="nil"/>
              <w:right w:val="nil"/>
            </w:tcBorders>
            <w:noWrap/>
            <w:vAlign w:val="bottom"/>
          </w:tcPr>
          <w:p>
            <w:pPr>
              <w:widowControl/>
              <w:jc w:val="left"/>
              <w:rPr>
                <w:rFonts w:ascii="仿宋" w:hAnsi="仿宋" w:eastAsia="仿宋" w:cs="Arial"/>
                <w:color w:val="000000"/>
                <w:kern w:val="0"/>
                <w:sz w:val="22"/>
                <w:szCs w:val="22"/>
              </w:rPr>
            </w:pPr>
            <w:r>
              <w:rPr>
                <w:rFonts w:hint="eastAsia" w:ascii="仿宋" w:hAnsi="仿宋" w:eastAsia="仿宋" w:cs="Arial"/>
                <w:color w:val="000000"/>
                <w:kern w:val="0"/>
                <w:sz w:val="22"/>
                <w:szCs w:val="22"/>
              </w:rPr>
              <w:t>部门：防城港市公共资源交易中心</w:t>
            </w:r>
          </w:p>
        </w:tc>
        <w:tc>
          <w:tcPr>
            <w:tcW w:w="2754" w:type="pct"/>
            <w:gridSpan w:val="7"/>
            <w:tcBorders>
              <w:top w:val="nil"/>
              <w:left w:val="nil"/>
              <w:bottom w:val="nil"/>
              <w:right w:val="nil"/>
            </w:tcBorders>
            <w:noWrap/>
            <w:vAlign w:val="bottom"/>
          </w:tcPr>
          <w:p>
            <w:pPr>
              <w:widowControl/>
              <w:ind w:right="800" w:firstLine="2420" w:firstLineChars="1100"/>
              <w:rPr>
                <w:rFonts w:ascii="仿宋" w:hAnsi="仿宋" w:eastAsia="仿宋" w:cs="Arial"/>
                <w:color w:val="000000"/>
                <w:kern w:val="0"/>
                <w:sz w:val="22"/>
                <w:szCs w:val="22"/>
              </w:rPr>
            </w:pPr>
            <w:r>
              <w:rPr>
                <w:rFonts w:hint="eastAsia" w:ascii="仿宋" w:hAnsi="仿宋" w:eastAsia="仿宋" w:cs="Arial"/>
                <w:color w:val="000000"/>
                <w:kern w:val="0"/>
                <w:sz w:val="22"/>
                <w:szCs w:val="22"/>
              </w:rPr>
              <w:t>金额单位：元</w:t>
            </w:r>
          </w:p>
        </w:tc>
      </w:tr>
      <w:tr>
        <w:tblPrEx>
          <w:tblCellMar>
            <w:top w:w="0" w:type="dxa"/>
            <w:left w:w="108" w:type="dxa"/>
            <w:bottom w:w="0" w:type="dxa"/>
            <w:right w:w="108" w:type="dxa"/>
          </w:tblCellMar>
        </w:tblPrEx>
        <w:trPr>
          <w:gridAfter w:val="1"/>
          <w:wAfter w:w="354" w:type="pct"/>
          <w:trHeight w:val="308" w:hRule="atLeast"/>
        </w:trPr>
        <w:tc>
          <w:tcPr>
            <w:tcW w:w="1739"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收     入</w:t>
            </w:r>
          </w:p>
        </w:tc>
        <w:tc>
          <w:tcPr>
            <w:tcW w:w="2907" w:type="pct"/>
            <w:gridSpan w:val="7"/>
            <w:tcBorders>
              <w:top w:val="single" w:color="000000" w:sz="4" w:space="0"/>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支     出</w:t>
            </w:r>
          </w:p>
        </w:tc>
      </w:tr>
      <w:tr>
        <w:tblPrEx>
          <w:tblCellMar>
            <w:top w:w="0" w:type="dxa"/>
            <w:left w:w="108" w:type="dxa"/>
            <w:bottom w:w="0" w:type="dxa"/>
            <w:right w:w="108" w:type="dxa"/>
          </w:tblCellMar>
        </w:tblPrEx>
        <w:trPr>
          <w:gridAfter w:val="1"/>
          <w:wAfter w:w="354" w:type="pct"/>
          <w:trHeight w:val="624" w:hRule="atLeast"/>
        </w:trPr>
        <w:tc>
          <w:tcPr>
            <w:tcW w:w="754" w:type="pct"/>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31"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754"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金额</w:t>
            </w:r>
          </w:p>
        </w:tc>
        <w:tc>
          <w:tcPr>
            <w:tcW w:w="637" w:type="pct"/>
            <w:gridSpan w:val="2"/>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31"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773" w:type="pct"/>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694"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一般公共预算财政拨款</w:t>
            </w:r>
          </w:p>
        </w:tc>
        <w:tc>
          <w:tcPr>
            <w:tcW w:w="309"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政府性基金预算财政拨款</w:t>
            </w:r>
          </w:p>
        </w:tc>
        <w:tc>
          <w:tcPr>
            <w:tcW w:w="263"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国有资本经营预算财政拨款</w:t>
            </w:r>
          </w:p>
        </w:tc>
      </w:tr>
      <w:tr>
        <w:tblPrEx>
          <w:tblCellMar>
            <w:top w:w="0" w:type="dxa"/>
            <w:left w:w="108" w:type="dxa"/>
            <w:bottom w:w="0" w:type="dxa"/>
            <w:right w:w="108" w:type="dxa"/>
          </w:tblCellMar>
        </w:tblPrEx>
        <w:trPr>
          <w:gridAfter w:val="1"/>
          <w:wAfter w:w="354" w:type="pct"/>
          <w:trHeight w:val="624" w:hRule="atLeast"/>
        </w:trPr>
        <w:tc>
          <w:tcPr>
            <w:tcW w:w="754"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1"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754"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637" w:type="pct"/>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1"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773"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694"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9"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63"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gridAfter w:val="1"/>
          <w:wAfter w:w="354" w:type="pct"/>
          <w:trHeight w:val="308" w:hRule="atLeast"/>
        </w:trPr>
        <w:tc>
          <w:tcPr>
            <w:tcW w:w="75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3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754"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637" w:type="pct"/>
            <w:gridSpan w:val="2"/>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3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773"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694"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30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263"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r>
      <w:tr>
        <w:tblPrEx>
          <w:tblCellMar>
            <w:top w:w="0" w:type="dxa"/>
            <w:left w:w="108" w:type="dxa"/>
            <w:bottom w:w="0" w:type="dxa"/>
            <w:right w:w="108" w:type="dxa"/>
          </w:tblCellMar>
        </w:tblPrEx>
        <w:trPr>
          <w:gridAfter w:val="1"/>
          <w:wAfter w:w="354" w:type="pct"/>
          <w:trHeight w:val="308" w:hRule="atLeast"/>
        </w:trPr>
        <w:tc>
          <w:tcPr>
            <w:tcW w:w="75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23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7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3,706,268.46</w:t>
            </w:r>
          </w:p>
        </w:tc>
        <w:tc>
          <w:tcPr>
            <w:tcW w:w="637"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23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33</w:t>
            </w:r>
          </w:p>
        </w:tc>
        <w:tc>
          <w:tcPr>
            <w:tcW w:w="77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3,141,607.82</w:t>
            </w:r>
          </w:p>
        </w:tc>
        <w:tc>
          <w:tcPr>
            <w:tcW w:w="69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3,141,607.82</w:t>
            </w:r>
          </w:p>
        </w:tc>
        <w:tc>
          <w:tcPr>
            <w:tcW w:w="30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6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4" w:type="pct"/>
          <w:trHeight w:val="308" w:hRule="atLeast"/>
        </w:trPr>
        <w:tc>
          <w:tcPr>
            <w:tcW w:w="75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23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7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37"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23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34</w:t>
            </w:r>
          </w:p>
        </w:tc>
        <w:tc>
          <w:tcPr>
            <w:tcW w:w="77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9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6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4" w:type="pct"/>
          <w:trHeight w:val="308" w:hRule="atLeast"/>
        </w:trPr>
        <w:tc>
          <w:tcPr>
            <w:tcW w:w="75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三、国有资本经营财政拨款</w:t>
            </w:r>
          </w:p>
        </w:tc>
        <w:tc>
          <w:tcPr>
            <w:tcW w:w="23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7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37"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23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35</w:t>
            </w:r>
          </w:p>
        </w:tc>
        <w:tc>
          <w:tcPr>
            <w:tcW w:w="77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9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6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4" w:type="pct"/>
          <w:trHeight w:val="308" w:hRule="atLeast"/>
        </w:trPr>
        <w:tc>
          <w:tcPr>
            <w:tcW w:w="75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7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37"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23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36</w:t>
            </w:r>
          </w:p>
        </w:tc>
        <w:tc>
          <w:tcPr>
            <w:tcW w:w="77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9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6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4" w:type="pct"/>
          <w:trHeight w:val="308" w:hRule="atLeast"/>
        </w:trPr>
        <w:tc>
          <w:tcPr>
            <w:tcW w:w="75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7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37"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23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37</w:t>
            </w:r>
          </w:p>
        </w:tc>
        <w:tc>
          <w:tcPr>
            <w:tcW w:w="77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9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6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4" w:type="pct"/>
          <w:trHeight w:val="308" w:hRule="atLeast"/>
        </w:trPr>
        <w:tc>
          <w:tcPr>
            <w:tcW w:w="75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7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37"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23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38</w:t>
            </w:r>
          </w:p>
        </w:tc>
        <w:tc>
          <w:tcPr>
            <w:tcW w:w="77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9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6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4" w:type="pct"/>
          <w:trHeight w:val="308" w:hRule="atLeast"/>
        </w:trPr>
        <w:tc>
          <w:tcPr>
            <w:tcW w:w="75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7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37"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七、文化旅游体育与传媒支出</w:t>
            </w:r>
          </w:p>
        </w:tc>
        <w:tc>
          <w:tcPr>
            <w:tcW w:w="23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39</w:t>
            </w:r>
          </w:p>
        </w:tc>
        <w:tc>
          <w:tcPr>
            <w:tcW w:w="77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9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6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4" w:type="pct"/>
          <w:trHeight w:val="308" w:hRule="atLeast"/>
        </w:trPr>
        <w:tc>
          <w:tcPr>
            <w:tcW w:w="75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7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37"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23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40</w:t>
            </w:r>
          </w:p>
        </w:tc>
        <w:tc>
          <w:tcPr>
            <w:tcW w:w="77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234,031.13</w:t>
            </w:r>
          </w:p>
        </w:tc>
        <w:tc>
          <w:tcPr>
            <w:tcW w:w="69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234,031.13</w:t>
            </w:r>
          </w:p>
        </w:tc>
        <w:tc>
          <w:tcPr>
            <w:tcW w:w="30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6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4" w:type="pct"/>
          <w:trHeight w:val="308" w:hRule="atLeast"/>
        </w:trPr>
        <w:tc>
          <w:tcPr>
            <w:tcW w:w="75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7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37"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九、卫生健康支出</w:t>
            </w:r>
          </w:p>
        </w:tc>
        <w:tc>
          <w:tcPr>
            <w:tcW w:w="23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41</w:t>
            </w:r>
          </w:p>
        </w:tc>
        <w:tc>
          <w:tcPr>
            <w:tcW w:w="77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101,658.12</w:t>
            </w:r>
          </w:p>
        </w:tc>
        <w:tc>
          <w:tcPr>
            <w:tcW w:w="69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101,658.12</w:t>
            </w:r>
          </w:p>
        </w:tc>
        <w:tc>
          <w:tcPr>
            <w:tcW w:w="30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6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4" w:type="pct"/>
          <w:trHeight w:val="308" w:hRule="atLeast"/>
        </w:trPr>
        <w:tc>
          <w:tcPr>
            <w:tcW w:w="75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7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37"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23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42</w:t>
            </w:r>
          </w:p>
        </w:tc>
        <w:tc>
          <w:tcPr>
            <w:tcW w:w="77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9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6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4" w:type="pct"/>
          <w:trHeight w:val="308" w:hRule="atLeast"/>
        </w:trPr>
        <w:tc>
          <w:tcPr>
            <w:tcW w:w="75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7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37"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23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43</w:t>
            </w:r>
          </w:p>
        </w:tc>
        <w:tc>
          <w:tcPr>
            <w:tcW w:w="77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9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6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4" w:type="pct"/>
          <w:trHeight w:val="308" w:hRule="atLeast"/>
        </w:trPr>
        <w:tc>
          <w:tcPr>
            <w:tcW w:w="75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7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37"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23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44</w:t>
            </w:r>
          </w:p>
        </w:tc>
        <w:tc>
          <w:tcPr>
            <w:tcW w:w="77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9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6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4" w:type="pct"/>
          <w:trHeight w:val="308" w:hRule="atLeast"/>
        </w:trPr>
        <w:tc>
          <w:tcPr>
            <w:tcW w:w="75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w:t>
            </w:r>
          </w:p>
        </w:tc>
        <w:tc>
          <w:tcPr>
            <w:tcW w:w="7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37"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23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45</w:t>
            </w:r>
          </w:p>
        </w:tc>
        <w:tc>
          <w:tcPr>
            <w:tcW w:w="77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9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6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4" w:type="pct"/>
          <w:trHeight w:val="308" w:hRule="atLeast"/>
        </w:trPr>
        <w:tc>
          <w:tcPr>
            <w:tcW w:w="75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7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37"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十四、资源勘探工业信息等支出</w:t>
            </w:r>
          </w:p>
        </w:tc>
        <w:tc>
          <w:tcPr>
            <w:tcW w:w="23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46</w:t>
            </w:r>
          </w:p>
        </w:tc>
        <w:tc>
          <w:tcPr>
            <w:tcW w:w="77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9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6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4" w:type="pct"/>
          <w:trHeight w:val="308" w:hRule="atLeast"/>
        </w:trPr>
        <w:tc>
          <w:tcPr>
            <w:tcW w:w="75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w:t>
            </w:r>
          </w:p>
        </w:tc>
        <w:tc>
          <w:tcPr>
            <w:tcW w:w="7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37"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23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47</w:t>
            </w:r>
          </w:p>
        </w:tc>
        <w:tc>
          <w:tcPr>
            <w:tcW w:w="77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9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6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4" w:type="pct"/>
          <w:trHeight w:val="308" w:hRule="atLeast"/>
        </w:trPr>
        <w:tc>
          <w:tcPr>
            <w:tcW w:w="75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16</w:t>
            </w:r>
          </w:p>
        </w:tc>
        <w:tc>
          <w:tcPr>
            <w:tcW w:w="7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37"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23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48</w:t>
            </w:r>
          </w:p>
        </w:tc>
        <w:tc>
          <w:tcPr>
            <w:tcW w:w="77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9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6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4" w:type="pct"/>
          <w:trHeight w:val="308" w:hRule="atLeast"/>
        </w:trPr>
        <w:tc>
          <w:tcPr>
            <w:tcW w:w="75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7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37"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十七、援助其他地区支出</w:t>
            </w:r>
          </w:p>
        </w:tc>
        <w:tc>
          <w:tcPr>
            <w:tcW w:w="23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49</w:t>
            </w:r>
          </w:p>
        </w:tc>
        <w:tc>
          <w:tcPr>
            <w:tcW w:w="77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9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6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4" w:type="pct"/>
          <w:trHeight w:val="308" w:hRule="atLeast"/>
        </w:trPr>
        <w:tc>
          <w:tcPr>
            <w:tcW w:w="75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18</w:t>
            </w:r>
          </w:p>
        </w:tc>
        <w:tc>
          <w:tcPr>
            <w:tcW w:w="7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37"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十八、自然资源海洋气象等支出</w:t>
            </w:r>
          </w:p>
        </w:tc>
        <w:tc>
          <w:tcPr>
            <w:tcW w:w="23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50</w:t>
            </w:r>
          </w:p>
        </w:tc>
        <w:tc>
          <w:tcPr>
            <w:tcW w:w="77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9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6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4" w:type="pct"/>
          <w:trHeight w:val="308" w:hRule="atLeast"/>
        </w:trPr>
        <w:tc>
          <w:tcPr>
            <w:tcW w:w="75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w:t>
            </w:r>
          </w:p>
        </w:tc>
        <w:tc>
          <w:tcPr>
            <w:tcW w:w="7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37"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十九、住房保障支出</w:t>
            </w:r>
          </w:p>
        </w:tc>
        <w:tc>
          <w:tcPr>
            <w:tcW w:w="23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51</w:t>
            </w:r>
          </w:p>
        </w:tc>
        <w:tc>
          <w:tcPr>
            <w:tcW w:w="77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199,600.00</w:t>
            </w:r>
          </w:p>
        </w:tc>
        <w:tc>
          <w:tcPr>
            <w:tcW w:w="69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199,600.00</w:t>
            </w:r>
          </w:p>
        </w:tc>
        <w:tc>
          <w:tcPr>
            <w:tcW w:w="30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6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4" w:type="pct"/>
          <w:trHeight w:val="308" w:hRule="atLeast"/>
        </w:trPr>
        <w:tc>
          <w:tcPr>
            <w:tcW w:w="75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p>
        </w:tc>
        <w:tc>
          <w:tcPr>
            <w:tcW w:w="7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37"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二十、粮油物资储备支出</w:t>
            </w:r>
          </w:p>
        </w:tc>
        <w:tc>
          <w:tcPr>
            <w:tcW w:w="23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52</w:t>
            </w:r>
          </w:p>
        </w:tc>
        <w:tc>
          <w:tcPr>
            <w:tcW w:w="77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9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6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4" w:type="pct"/>
          <w:trHeight w:val="308" w:hRule="atLeast"/>
        </w:trPr>
        <w:tc>
          <w:tcPr>
            <w:tcW w:w="75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21</w:t>
            </w:r>
          </w:p>
        </w:tc>
        <w:tc>
          <w:tcPr>
            <w:tcW w:w="7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37"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二十一、国有资本经营预算支出</w:t>
            </w:r>
          </w:p>
        </w:tc>
        <w:tc>
          <w:tcPr>
            <w:tcW w:w="23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53</w:t>
            </w:r>
          </w:p>
        </w:tc>
        <w:tc>
          <w:tcPr>
            <w:tcW w:w="77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9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6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4" w:type="pct"/>
          <w:trHeight w:val="308" w:hRule="atLeast"/>
        </w:trPr>
        <w:tc>
          <w:tcPr>
            <w:tcW w:w="75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w:t>
            </w:r>
          </w:p>
        </w:tc>
        <w:tc>
          <w:tcPr>
            <w:tcW w:w="7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37"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二十二、灾害防治及应急管理支出</w:t>
            </w:r>
          </w:p>
        </w:tc>
        <w:tc>
          <w:tcPr>
            <w:tcW w:w="23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54</w:t>
            </w:r>
          </w:p>
        </w:tc>
        <w:tc>
          <w:tcPr>
            <w:tcW w:w="77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9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6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4" w:type="pct"/>
          <w:trHeight w:val="308" w:hRule="atLeast"/>
        </w:trPr>
        <w:tc>
          <w:tcPr>
            <w:tcW w:w="75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23</w:t>
            </w:r>
          </w:p>
        </w:tc>
        <w:tc>
          <w:tcPr>
            <w:tcW w:w="7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37"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二十三、其他支出</w:t>
            </w:r>
          </w:p>
        </w:tc>
        <w:tc>
          <w:tcPr>
            <w:tcW w:w="23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55</w:t>
            </w:r>
          </w:p>
        </w:tc>
        <w:tc>
          <w:tcPr>
            <w:tcW w:w="77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9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6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4" w:type="pct"/>
          <w:trHeight w:val="308" w:hRule="atLeast"/>
        </w:trPr>
        <w:tc>
          <w:tcPr>
            <w:tcW w:w="75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23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24</w:t>
            </w:r>
          </w:p>
        </w:tc>
        <w:tc>
          <w:tcPr>
            <w:tcW w:w="7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37"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二十四、债务还本支出</w:t>
            </w:r>
          </w:p>
        </w:tc>
        <w:tc>
          <w:tcPr>
            <w:tcW w:w="23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56</w:t>
            </w:r>
          </w:p>
        </w:tc>
        <w:tc>
          <w:tcPr>
            <w:tcW w:w="77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9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6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4" w:type="pct"/>
          <w:trHeight w:val="308" w:hRule="atLeast"/>
        </w:trPr>
        <w:tc>
          <w:tcPr>
            <w:tcW w:w="75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25</w:t>
            </w:r>
          </w:p>
        </w:tc>
        <w:tc>
          <w:tcPr>
            <w:tcW w:w="7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37"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二十五、债务付息支出</w:t>
            </w:r>
          </w:p>
        </w:tc>
        <w:tc>
          <w:tcPr>
            <w:tcW w:w="23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57</w:t>
            </w:r>
          </w:p>
        </w:tc>
        <w:tc>
          <w:tcPr>
            <w:tcW w:w="77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9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6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4" w:type="pct"/>
          <w:trHeight w:val="308" w:hRule="atLeast"/>
        </w:trPr>
        <w:tc>
          <w:tcPr>
            <w:tcW w:w="75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26</w:t>
            </w:r>
          </w:p>
        </w:tc>
        <w:tc>
          <w:tcPr>
            <w:tcW w:w="7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37"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二十六、抗疫特别国债安排的支出</w:t>
            </w:r>
          </w:p>
        </w:tc>
        <w:tc>
          <w:tcPr>
            <w:tcW w:w="23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58</w:t>
            </w:r>
          </w:p>
        </w:tc>
        <w:tc>
          <w:tcPr>
            <w:tcW w:w="77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9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6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4" w:type="pct"/>
          <w:trHeight w:val="308" w:hRule="atLeast"/>
        </w:trPr>
        <w:tc>
          <w:tcPr>
            <w:tcW w:w="75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本年收入合计</w:t>
            </w:r>
          </w:p>
        </w:tc>
        <w:tc>
          <w:tcPr>
            <w:tcW w:w="23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27</w:t>
            </w:r>
          </w:p>
        </w:tc>
        <w:tc>
          <w:tcPr>
            <w:tcW w:w="7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3,706,268.46</w:t>
            </w:r>
          </w:p>
        </w:tc>
        <w:tc>
          <w:tcPr>
            <w:tcW w:w="637" w:type="pct"/>
            <w:gridSpan w:val="2"/>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本年支出合计</w:t>
            </w:r>
          </w:p>
        </w:tc>
        <w:tc>
          <w:tcPr>
            <w:tcW w:w="23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59</w:t>
            </w:r>
          </w:p>
        </w:tc>
        <w:tc>
          <w:tcPr>
            <w:tcW w:w="77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3,676,897.07</w:t>
            </w:r>
          </w:p>
        </w:tc>
        <w:tc>
          <w:tcPr>
            <w:tcW w:w="69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3,676,897.07</w:t>
            </w:r>
          </w:p>
        </w:tc>
        <w:tc>
          <w:tcPr>
            <w:tcW w:w="30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6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4" w:type="pct"/>
          <w:trHeight w:val="308" w:hRule="atLeast"/>
        </w:trPr>
        <w:tc>
          <w:tcPr>
            <w:tcW w:w="75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年初财政拨款结转和结余</w:t>
            </w:r>
          </w:p>
        </w:tc>
        <w:tc>
          <w:tcPr>
            <w:tcW w:w="23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28</w:t>
            </w:r>
          </w:p>
        </w:tc>
        <w:tc>
          <w:tcPr>
            <w:tcW w:w="7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44,082.89</w:t>
            </w:r>
          </w:p>
        </w:tc>
        <w:tc>
          <w:tcPr>
            <w:tcW w:w="637"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年末财政拨款结转和结余</w:t>
            </w:r>
          </w:p>
        </w:tc>
        <w:tc>
          <w:tcPr>
            <w:tcW w:w="23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60</w:t>
            </w:r>
          </w:p>
        </w:tc>
        <w:tc>
          <w:tcPr>
            <w:tcW w:w="77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73,454.28</w:t>
            </w:r>
          </w:p>
        </w:tc>
        <w:tc>
          <w:tcPr>
            <w:tcW w:w="69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73,454.28</w:t>
            </w:r>
          </w:p>
        </w:tc>
        <w:tc>
          <w:tcPr>
            <w:tcW w:w="30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6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4" w:type="pct"/>
          <w:trHeight w:val="308" w:hRule="atLeast"/>
        </w:trPr>
        <w:tc>
          <w:tcPr>
            <w:tcW w:w="75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一般公共预算财政拨款</w:t>
            </w:r>
          </w:p>
        </w:tc>
        <w:tc>
          <w:tcPr>
            <w:tcW w:w="23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29</w:t>
            </w:r>
          </w:p>
        </w:tc>
        <w:tc>
          <w:tcPr>
            <w:tcW w:w="7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44,082.89</w:t>
            </w:r>
          </w:p>
        </w:tc>
        <w:tc>
          <w:tcPr>
            <w:tcW w:w="637"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61</w:t>
            </w:r>
          </w:p>
        </w:tc>
        <w:tc>
          <w:tcPr>
            <w:tcW w:w="77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9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6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4" w:type="pct"/>
          <w:trHeight w:val="308" w:hRule="atLeast"/>
        </w:trPr>
        <w:tc>
          <w:tcPr>
            <w:tcW w:w="75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政府性基金预算财政拨款</w:t>
            </w:r>
          </w:p>
        </w:tc>
        <w:tc>
          <w:tcPr>
            <w:tcW w:w="23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30</w:t>
            </w:r>
          </w:p>
        </w:tc>
        <w:tc>
          <w:tcPr>
            <w:tcW w:w="7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37"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62</w:t>
            </w:r>
          </w:p>
        </w:tc>
        <w:tc>
          <w:tcPr>
            <w:tcW w:w="77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9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6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4" w:type="pct"/>
          <w:trHeight w:val="308" w:hRule="atLeast"/>
        </w:trPr>
        <w:tc>
          <w:tcPr>
            <w:tcW w:w="75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国有资本经营预算财政拨款</w:t>
            </w:r>
          </w:p>
        </w:tc>
        <w:tc>
          <w:tcPr>
            <w:tcW w:w="23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31</w:t>
            </w:r>
          </w:p>
        </w:tc>
        <w:tc>
          <w:tcPr>
            <w:tcW w:w="7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37"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63</w:t>
            </w:r>
          </w:p>
        </w:tc>
        <w:tc>
          <w:tcPr>
            <w:tcW w:w="77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9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6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4" w:type="pct"/>
          <w:trHeight w:val="308" w:hRule="atLeast"/>
        </w:trPr>
        <w:tc>
          <w:tcPr>
            <w:tcW w:w="75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23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32</w:t>
            </w:r>
          </w:p>
        </w:tc>
        <w:tc>
          <w:tcPr>
            <w:tcW w:w="7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3,750,351.35</w:t>
            </w:r>
          </w:p>
        </w:tc>
        <w:tc>
          <w:tcPr>
            <w:tcW w:w="637" w:type="pct"/>
            <w:gridSpan w:val="2"/>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23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64</w:t>
            </w:r>
          </w:p>
        </w:tc>
        <w:tc>
          <w:tcPr>
            <w:tcW w:w="77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3,750,351.35</w:t>
            </w:r>
          </w:p>
        </w:tc>
        <w:tc>
          <w:tcPr>
            <w:tcW w:w="69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3,750,351.35</w:t>
            </w:r>
          </w:p>
        </w:tc>
        <w:tc>
          <w:tcPr>
            <w:tcW w:w="30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6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bl>
    <w:p>
      <w:pPr>
        <w:rPr>
          <w:rFonts w:ascii="仿宋" w:hAnsi="仿宋" w:eastAsia="仿宋" w:cs="Arial"/>
          <w:kern w:val="0"/>
          <w:sz w:val="22"/>
          <w:szCs w:val="22"/>
        </w:rPr>
      </w:pPr>
      <w:r>
        <w:rPr>
          <w:rFonts w:hint="eastAsia" w:ascii="仿宋" w:hAnsi="仿宋" w:eastAsia="仿宋" w:cs="宋体"/>
          <w:kern w:val="0"/>
          <w:sz w:val="22"/>
          <w:szCs w:val="22"/>
        </w:rPr>
        <w:t>注：本表依据《财政拨款收入支出决算批复表》（公开04表）进行公开。</w:t>
      </w:r>
      <w:r>
        <w:rPr>
          <w:rFonts w:hint="eastAsia" w:ascii="仿宋" w:hAnsi="仿宋" w:eastAsia="仿宋" w:cs="Arial"/>
          <w:kern w:val="0"/>
          <w:sz w:val="22"/>
          <w:szCs w:val="22"/>
        </w:rPr>
        <w:t>本表反映部门本年度一般公共预算财政拨款、政府性基金预算财政拨款和国有资本经营预算财政拨款的总收支和年末结转结余情况。</w:t>
      </w:r>
    </w:p>
    <w:p>
      <w:pPr>
        <w:jc w:val="center"/>
        <w:rPr>
          <w:rFonts w:ascii="仿宋" w:hAnsi="仿宋" w:eastAsia="仿宋" w:cs="宋体"/>
          <w:kern w:val="0"/>
          <w:sz w:val="22"/>
          <w:szCs w:val="22"/>
        </w:rPr>
      </w:pPr>
    </w:p>
    <w:p>
      <w:pPr>
        <w:jc w:val="center"/>
        <w:rPr>
          <w:rFonts w:ascii="仿宋" w:hAnsi="仿宋" w:eastAsia="仿宋" w:cs="宋体"/>
          <w:kern w:val="0"/>
          <w:sz w:val="22"/>
          <w:szCs w:val="22"/>
        </w:rPr>
      </w:pPr>
      <w:r>
        <w:rPr>
          <w:rFonts w:hint="eastAsia" w:ascii="仿宋" w:hAnsi="仿宋" w:eastAsia="仿宋" w:cs="宋体"/>
          <w:kern w:val="0"/>
          <w:sz w:val="22"/>
          <w:szCs w:val="22"/>
        </w:rPr>
        <w:t>表五：</w:t>
      </w:r>
      <w:r>
        <w:rPr>
          <w:rFonts w:hint="eastAsia" w:ascii="仿宋" w:hAnsi="仿宋" w:eastAsia="仿宋"/>
          <w:sz w:val="22"/>
          <w:szCs w:val="22"/>
        </w:rPr>
        <w:t>一般</w:t>
      </w:r>
      <w:r>
        <w:rPr>
          <w:rFonts w:hint="eastAsia" w:ascii="仿宋" w:hAnsi="仿宋" w:eastAsia="仿宋" w:cs="宋体"/>
          <w:kern w:val="0"/>
          <w:sz w:val="22"/>
          <w:szCs w:val="22"/>
        </w:rPr>
        <w:t>公共预算财政拨款支出决算表</w:t>
      </w:r>
    </w:p>
    <w:tbl>
      <w:tblPr>
        <w:tblStyle w:val="5"/>
        <w:tblW w:w="5386" w:type="pct"/>
        <w:tblInd w:w="0" w:type="dxa"/>
        <w:tblLayout w:type="fixed"/>
        <w:tblCellMar>
          <w:top w:w="0" w:type="dxa"/>
          <w:left w:w="108" w:type="dxa"/>
          <w:bottom w:w="0" w:type="dxa"/>
          <w:right w:w="108" w:type="dxa"/>
        </w:tblCellMar>
      </w:tblPr>
      <w:tblGrid>
        <w:gridCol w:w="843"/>
        <w:gridCol w:w="2385"/>
        <w:gridCol w:w="894"/>
        <w:gridCol w:w="806"/>
        <w:gridCol w:w="1843"/>
        <w:gridCol w:w="1752"/>
        <w:gridCol w:w="657"/>
      </w:tblGrid>
      <w:tr>
        <w:tblPrEx>
          <w:tblCellMar>
            <w:top w:w="0" w:type="dxa"/>
            <w:left w:w="108" w:type="dxa"/>
            <w:bottom w:w="0" w:type="dxa"/>
            <w:right w:w="108" w:type="dxa"/>
          </w:tblCellMar>
        </w:tblPrEx>
        <w:trPr>
          <w:trHeight w:val="255" w:hRule="atLeast"/>
        </w:trPr>
        <w:tc>
          <w:tcPr>
            <w:tcW w:w="2245" w:type="pct"/>
            <w:gridSpan w:val="3"/>
            <w:tcBorders>
              <w:top w:val="nil"/>
              <w:left w:val="nil"/>
              <w:bottom w:val="nil"/>
              <w:right w:val="nil"/>
            </w:tcBorders>
            <w:noWrap/>
            <w:vAlign w:val="bottom"/>
          </w:tcPr>
          <w:p>
            <w:pPr>
              <w:widowControl/>
              <w:jc w:val="left"/>
              <w:rPr>
                <w:rFonts w:ascii="仿宋" w:hAnsi="仿宋" w:eastAsia="仿宋" w:cs="Arial"/>
                <w:color w:val="000000"/>
                <w:kern w:val="0"/>
                <w:sz w:val="22"/>
                <w:szCs w:val="22"/>
              </w:rPr>
            </w:pPr>
            <w:r>
              <w:rPr>
                <w:rFonts w:hint="eastAsia" w:ascii="仿宋" w:hAnsi="仿宋" w:eastAsia="仿宋" w:cs="Arial"/>
                <w:color w:val="000000"/>
                <w:kern w:val="0"/>
                <w:sz w:val="22"/>
                <w:szCs w:val="22"/>
              </w:rPr>
              <w:t>部门：防城港市公共资源交易中心</w:t>
            </w:r>
          </w:p>
        </w:tc>
        <w:tc>
          <w:tcPr>
            <w:tcW w:w="2755" w:type="pct"/>
            <w:gridSpan w:val="4"/>
            <w:tcBorders>
              <w:top w:val="nil"/>
              <w:left w:val="nil"/>
              <w:bottom w:val="nil"/>
              <w:right w:val="nil"/>
            </w:tcBorders>
            <w:noWrap/>
            <w:vAlign w:val="bottom"/>
          </w:tcPr>
          <w:p>
            <w:pPr>
              <w:widowControl/>
              <w:ind w:right="800" w:firstLine="2420" w:firstLineChars="1100"/>
              <w:rPr>
                <w:rFonts w:ascii="仿宋" w:hAnsi="仿宋" w:eastAsia="仿宋" w:cs="Arial"/>
                <w:color w:val="000000"/>
                <w:kern w:val="0"/>
                <w:sz w:val="22"/>
                <w:szCs w:val="22"/>
              </w:rPr>
            </w:pPr>
            <w:r>
              <w:rPr>
                <w:rFonts w:hint="eastAsia" w:ascii="仿宋" w:hAnsi="仿宋" w:eastAsia="仿宋" w:cs="Arial"/>
                <w:color w:val="000000"/>
                <w:kern w:val="0"/>
                <w:sz w:val="22"/>
                <w:szCs w:val="22"/>
              </w:rPr>
              <w:t>金额单位：元</w:t>
            </w:r>
          </w:p>
        </w:tc>
      </w:tr>
      <w:tr>
        <w:tblPrEx>
          <w:tblCellMar>
            <w:top w:w="0" w:type="dxa"/>
            <w:left w:w="108" w:type="dxa"/>
            <w:bottom w:w="0" w:type="dxa"/>
            <w:right w:w="108" w:type="dxa"/>
          </w:tblCellMar>
        </w:tblPrEx>
        <w:trPr>
          <w:gridAfter w:val="1"/>
          <w:wAfter w:w="358" w:type="pct"/>
          <w:trHeight w:val="308" w:hRule="atLeast"/>
        </w:trPr>
        <w:tc>
          <w:tcPr>
            <w:tcW w:w="1758" w:type="pct"/>
            <w:gridSpan w:val="2"/>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884" w:type="pct"/>
            <w:gridSpan w:val="4"/>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r>
      <w:tr>
        <w:tblPrEx>
          <w:tblCellMar>
            <w:top w:w="0" w:type="dxa"/>
            <w:left w:w="108" w:type="dxa"/>
            <w:bottom w:w="0" w:type="dxa"/>
            <w:right w:w="108" w:type="dxa"/>
          </w:tblCellMar>
        </w:tblPrEx>
        <w:trPr>
          <w:gridAfter w:val="1"/>
          <w:wAfter w:w="358" w:type="pct"/>
          <w:trHeight w:val="624" w:hRule="atLeast"/>
        </w:trPr>
        <w:tc>
          <w:tcPr>
            <w:tcW w:w="459" w:type="pct"/>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299" w:type="pct"/>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926" w:type="pct"/>
            <w:gridSpan w:val="2"/>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004"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954"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gridAfter w:val="1"/>
          <w:wAfter w:w="358" w:type="pct"/>
          <w:trHeight w:val="624" w:hRule="atLeast"/>
        </w:trPr>
        <w:tc>
          <w:tcPr>
            <w:tcW w:w="459"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99"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926" w:type="pct"/>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04"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954"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gridAfter w:val="1"/>
          <w:wAfter w:w="358" w:type="pct"/>
          <w:trHeight w:val="624" w:hRule="atLeast"/>
        </w:trPr>
        <w:tc>
          <w:tcPr>
            <w:tcW w:w="459"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99"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926" w:type="pct"/>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04"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954"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gridAfter w:val="1"/>
          <w:wAfter w:w="358" w:type="pct"/>
          <w:trHeight w:val="308" w:hRule="atLeast"/>
        </w:trPr>
        <w:tc>
          <w:tcPr>
            <w:tcW w:w="1758" w:type="pct"/>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926" w:type="pct"/>
            <w:gridSpan w:val="2"/>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004"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954"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gridAfter w:val="1"/>
          <w:wAfter w:w="358" w:type="pct"/>
          <w:trHeight w:val="308" w:hRule="atLeast"/>
        </w:trPr>
        <w:tc>
          <w:tcPr>
            <w:tcW w:w="1758" w:type="pct"/>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926"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3,676,897.07</w:t>
            </w:r>
          </w:p>
        </w:tc>
        <w:tc>
          <w:tcPr>
            <w:tcW w:w="100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2,337,163.05</w:t>
            </w:r>
          </w:p>
        </w:tc>
        <w:tc>
          <w:tcPr>
            <w:tcW w:w="9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1,339,734.02</w:t>
            </w:r>
          </w:p>
        </w:tc>
      </w:tr>
      <w:tr>
        <w:tblPrEx>
          <w:tblCellMar>
            <w:top w:w="0" w:type="dxa"/>
            <w:left w:w="108" w:type="dxa"/>
            <w:bottom w:w="0" w:type="dxa"/>
            <w:right w:w="108" w:type="dxa"/>
          </w:tblCellMar>
        </w:tblPrEx>
        <w:trPr>
          <w:gridAfter w:val="1"/>
          <w:wAfter w:w="358" w:type="pct"/>
          <w:trHeight w:val="308" w:hRule="atLeast"/>
        </w:trPr>
        <w:tc>
          <w:tcPr>
            <w:tcW w:w="459"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w:t>
            </w:r>
          </w:p>
        </w:tc>
        <w:tc>
          <w:tcPr>
            <w:tcW w:w="1299"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一般公共服务支出</w:t>
            </w:r>
          </w:p>
        </w:tc>
        <w:tc>
          <w:tcPr>
            <w:tcW w:w="926"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3,141,607.82</w:t>
            </w:r>
          </w:p>
        </w:tc>
        <w:tc>
          <w:tcPr>
            <w:tcW w:w="100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1,801,873.80</w:t>
            </w:r>
          </w:p>
        </w:tc>
        <w:tc>
          <w:tcPr>
            <w:tcW w:w="9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1,339,734.02</w:t>
            </w:r>
          </w:p>
        </w:tc>
      </w:tr>
      <w:tr>
        <w:tblPrEx>
          <w:tblCellMar>
            <w:top w:w="0" w:type="dxa"/>
            <w:left w:w="108" w:type="dxa"/>
            <w:bottom w:w="0" w:type="dxa"/>
            <w:right w:w="108" w:type="dxa"/>
          </w:tblCellMar>
        </w:tblPrEx>
        <w:trPr>
          <w:gridAfter w:val="1"/>
          <w:wAfter w:w="358" w:type="pct"/>
          <w:trHeight w:val="308" w:hRule="atLeast"/>
        </w:trPr>
        <w:tc>
          <w:tcPr>
            <w:tcW w:w="459"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20103</w:t>
            </w:r>
          </w:p>
        </w:tc>
        <w:tc>
          <w:tcPr>
            <w:tcW w:w="1299"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政府办公厅（室）及相关机构事务</w:t>
            </w:r>
          </w:p>
        </w:tc>
        <w:tc>
          <w:tcPr>
            <w:tcW w:w="926"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3,141,607.82</w:t>
            </w:r>
          </w:p>
        </w:tc>
        <w:tc>
          <w:tcPr>
            <w:tcW w:w="100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1,801,873.80</w:t>
            </w:r>
          </w:p>
        </w:tc>
        <w:tc>
          <w:tcPr>
            <w:tcW w:w="9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1,339,734.02</w:t>
            </w:r>
          </w:p>
        </w:tc>
      </w:tr>
      <w:tr>
        <w:tblPrEx>
          <w:tblCellMar>
            <w:top w:w="0" w:type="dxa"/>
            <w:left w:w="108" w:type="dxa"/>
            <w:bottom w:w="0" w:type="dxa"/>
            <w:right w:w="108" w:type="dxa"/>
          </w:tblCellMar>
        </w:tblPrEx>
        <w:trPr>
          <w:gridAfter w:val="1"/>
          <w:wAfter w:w="358" w:type="pct"/>
          <w:trHeight w:val="308" w:hRule="atLeast"/>
        </w:trPr>
        <w:tc>
          <w:tcPr>
            <w:tcW w:w="459"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2010350</w:t>
            </w:r>
          </w:p>
        </w:tc>
        <w:tc>
          <w:tcPr>
            <w:tcW w:w="1299"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事业运行</w:t>
            </w:r>
          </w:p>
        </w:tc>
        <w:tc>
          <w:tcPr>
            <w:tcW w:w="926"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1,801,873.80</w:t>
            </w:r>
          </w:p>
        </w:tc>
        <w:tc>
          <w:tcPr>
            <w:tcW w:w="100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1,801,873.80</w:t>
            </w:r>
          </w:p>
        </w:tc>
        <w:tc>
          <w:tcPr>
            <w:tcW w:w="9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8" w:type="pct"/>
          <w:trHeight w:val="308" w:hRule="atLeast"/>
        </w:trPr>
        <w:tc>
          <w:tcPr>
            <w:tcW w:w="459"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2010399</w:t>
            </w:r>
          </w:p>
        </w:tc>
        <w:tc>
          <w:tcPr>
            <w:tcW w:w="1299"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其他政府办公厅（室）及相关机构事务支出</w:t>
            </w:r>
          </w:p>
        </w:tc>
        <w:tc>
          <w:tcPr>
            <w:tcW w:w="926"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1,339,734.02</w:t>
            </w:r>
          </w:p>
        </w:tc>
        <w:tc>
          <w:tcPr>
            <w:tcW w:w="100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1,339,734.02</w:t>
            </w:r>
          </w:p>
        </w:tc>
      </w:tr>
      <w:tr>
        <w:tblPrEx>
          <w:tblCellMar>
            <w:top w:w="0" w:type="dxa"/>
            <w:left w:w="108" w:type="dxa"/>
            <w:bottom w:w="0" w:type="dxa"/>
            <w:right w:w="108" w:type="dxa"/>
          </w:tblCellMar>
        </w:tblPrEx>
        <w:trPr>
          <w:gridAfter w:val="1"/>
          <w:wAfter w:w="358" w:type="pct"/>
          <w:trHeight w:val="308" w:hRule="atLeast"/>
        </w:trPr>
        <w:tc>
          <w:tcPr>
            <w:tcW w:w="459"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w:t>
            </w:r>
          </w:p>
        </w:tc>
        <w:tc>
          <w:tcPr>
            <w:tcW w:w="1299"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社会保障和就业支出</w:t>
            </w:r>
          </w:p>
        </w:tc>
        <w:tc>
          <w:tcPr>
            <w:tcW w:w="926"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234,031.13</w:t>
            </w:r>
          </w:p>
        </w:tc>
        <w:tc>
          <w:tcPr>
            <w:tcW w:w="100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234,031.13</w:t>
            </w:r>
          </w:p>
        </w:tc>
        <w:tc>
          <w:tcPr>
            <w:tcW w:w="9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8" w:type="pct"/>
          <w:trHeight w:val="308" w:hRule="atLeast"/>
        </w:trPr>
        <w:tc>
          <w:tcPr>
            <w:tcW w:w="459"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w:t>
            </w:r>
          </w:p>
        </w:tc>
        <w:tc>
          <w:tcPr>
            <w:tcW w:w="1299"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行政事业单位养老支出</w:t>
            </w:r>
          </w:p>
        </w:tc>
        <w:tc>
          <w:tcPr>
            <w:tcW w:w="926"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234,031.13</w:t>
            </w:r>
          </w:p>
        </w:tc>
        <w:tc>
          <w:tcPr>
            <w:tcW w:w="100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234,031.13</w:t>
            </w:r>
          </w:p>
        </w:tc>
        <w:tc>
          <w:tcPr>
            <w:tcW w:w="9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8" w:type="pct"/>
          <w:trHeight w:val="308" w:hRule="atLeast"/>
        </w:trPr>
        <w:tc>
          <w:tcPr>
            <w:tcW w:w="459"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2080505</w:t>
            </w:r>
          </w:p>
        </w:tc>
        <w:tc>
          <w:tcPr>
            <w:tcW w:w="1299"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机关事业单位基本养老保险缴费支出</w:t>
            </w:r>
          </w:p>
        </w:tc>
        <w:tc>
          <w:tcPr>
            <w:tcW w:w="926"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234,031.13</w:t>
            </w:r>
          </w:p>
        </w:tc>
        <w:tc>
          <w:tcPr>
            <w:tcW w:w="100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234,031.13</w:t>
            </w:r>
          </w:p>
        </w:tc>
        <w:tc>
          <w:tcPr>
            <w:tcW w:w="9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8" w:type="pct"/>
          <w:trHeight w:val="308" w:hRule="atLeast"/>
        </w:trPr>
        <w:tc>
          <w:tcPr>
            <w:tcW w:w="459"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w:t>
            </w:r>
          </w:p>
        </w:tc>
        <w:tc>
          <w:tcPr>
            <w:tcW w:w="1299"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卫生健康支出</w:t>
            </w:r>
          </w:p>
        </w:tc>
        <w:tc>
          <w:tcPr>
            <w:tcW w:w="926"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101,658.12</w:t>
            </w:r>
          </w:p>
        </w:tc>
        <w:tc>
          <w:tcPr>
            <w:tcW w:w="100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101,658.12</w:t>
            </w:r>
          </w:p>
        </w:tc>
        <w:tc>
          <w:tcPr>
            <w:tcW w:w="9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8" w:type="pct"/>
          <w:trHeight w:val="308" w:hRule="atLeast"/>
        </w:trPr>
        <w:tc>
          <w:tcPr>
            <w:tcW w:w="459"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21011</w:t>
            </w:r>
          </w:p>
        </w:tc>
        <w:tc>
          <w:tcPr>
            <w:tcW w:w="1299"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行政事业单位医疗</w:t>
            </w:r>
          </w:p>
        </w:tc>
        <w:tc>
          <w:tcPr>
            <w:tcW w:w="926"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101,658.12</w:t>
            </w:r>
          </w:p>
        </w:tc>
        <w:tc>
          <w:tcPr>
            <w:tcW w:w="100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101,658.12</w:t>
            </w:r>
          </w:p>
        </w:tc>
        <w:tc>
          <w:tcPr>
            <w:tcW w:w="9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8" w:type="pct"/>
          <w:trHeight w:val="308" w:hRule="atLeast"/>
        </w:trPr>
        <w:tc>
          <w:tcPr>
            <w:tcW w:w="459"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2101102</w:t>
            </w:r>
          </w:p>
        </w:tc>
        <w:tc>
          <w:tcPr>
            <w:tcW w:w="1299"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事业单位医疗</w:t>
            </w:r>
          </w:p>
        </w:tc>
        <w:tc>
          <w:tcPr>
            <w:tcW w:w="926"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56,063.52</w:t>
            </w:r>
          </w:p>
        </w:tc>
        <w:tc>
          <w:tcPr>
            <w:tcW w:w="100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56,063.52</w:t>
            </w:r>
          </w:p>
        </w:tc>
        <w:tc>
          <w:tcPr>
            <w:tcW w:w="9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8" w:type="pct"/>
          <w:trHeight w:val="308" w:hRule="atLeast"/>
        </w:trPr>
        <w:tc>
          <w:tcPr>
            <w:tcW w:w="459"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2101103</w:t>
            </w:r>
          </w:p>
        </w:tc>
        <w:tc>
          <w:tcPr>
            <w:tcW w:w="1299"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公务员医疗补助</w:t>
            </w:r>
          </w:p>
        </w:tc>
        <w:tc>
          <w:tcPr>
            <w:tcW w:w="926"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45,594.60</w:t>
            </w:r>
          </w:p>
        </w:tc>
        <w:tc>
          <w:tcPr>
            <w:tcW w:w="100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45,594.60</w:t>
            </w:r>
          </w:p>
        </w:tc>
        <w:tc>
          <w:tcPr>
            <w:tcW w:w="9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8" w:type="pct"/>
          <w:trHeight w:val="308" w:hRule="atLeast"/>
        </w:trPr>
        <w:tc>
          <w:tcPr>
            <w:tcW w:w="459"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w:t>
            </w:r>
          </w:p>
        </w:tc>
        <w:tc>
          <w:tcPr>
            <w:tcW w:w="1299"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住房保障支出</w:t>
            </w:r>
          </w:p>
        </w:tc>
        <w:tc>
          <w:tcPr>
            <w:tcW w:w="926"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199,600.00</w:t>
            </w:r>
          </w:p>
        </w:tc>
        <w:tc>
          <w:tcPr>
            <w:tcW w:w="100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199,600.00</w:t>
            </w:r>
          </w:p>
        </w:tc>
        <w:tc>
          <w:tcPr>
            <w:tcW w:w="9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8" w:type="pct"/>
          <w:trHeight w:val="308" w:hRule="atLeast"/>
        </w:trPr>
        <w:tc>
          <w:tcPr>
            <w:tcW w:w="459"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22102</w:t>
            </w:r>
          </w:p>
        </w:tc>
        <w:tc>
          <w:tcPr>
            <w:tcW w:w="1299"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住房改革支出</w:t>
            </w:r>
          </w:p>
        </w:tc>
        <w:tc>
          <w:tcPr>
            <w:tcW w:w="926"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199,600.00</w:t>
            </w:r>
          </w:p>
        </w:tc>
        <w:tc>
          <w:tcPr>
            <w:tcW w:w="100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199,600.00</w:t>
            </w:r>
          </w:p>
        </w:tc>
        <w:tc>
          <w:tcPr>
            <w:tcW w:w="9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8" w:type="pct"/>
          <w:trHeight w:val="308" w:hRule="atLeast"/>
        </w:trPr>
        <w:tc>
          <w:tcPr>
            <w:tcW w:w="459"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2210201</w:t>
            </w:r>
          </w:p>
        </w:tc>
        <w:tc>
          <w:tcPr>
            <w:tcW w:w="1299"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住房公积金</w:t>
            </w:r>
          </w:p>
        </w:tc>
        <w:tc>
          <w:tcPr>
            <w:tcW w:w="926"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199,600.00</w:t>
            </w:r>
          </w:p>
        </w:tc>
        <w:tc>
          <w:tcPr>
            <w:tcW w:w="100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199,600.00</w:t>
            </w:r>
          </w:p>
        </w:tc>
        <w:tc>
          <w:tcPr>
            <w:tcW w:w="95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bl>
    <w:p>
      <w:pPr>
        <w:rPr>
          <w:rFonts w:ascii="仿宋" w:hAnsi="仿宋" w:eastAsia="仿宋"/>
          <w:sz w:val="22"/>
          <w:szCs w:val="22"/>
        </w:rPr>
      </w:pPr>
      <w:r>
        <w:rPr>
          <w:rFonts w:hint="eastAsia" w:ascii="仿宋" w:hAnsi="仿宋" w:eastAsia="仿宋" w:cs="宋体"/>
          <w:kern w:val="0"/>
          <w:sz w:val="22"/>
          <w:szCs w:val="22"/>
        </w:rPr>
        <w:t>注：本表依据《一般公共预算财政拨款支出决算批复表》（公开05表）进行公开。</w:t>
      </w:r>
      <w:r>
        <w:rPr>
          <w:rFonts w:hint="eastAsia" w:ascii="仿宋" w:hAnsi="仿宋" w:eastAsia="仿宋"/>
          <w:sz w:val="22"/>
          <w:szCs w:val="22"/>
        </w:rPr>
        <w:t>本表反映部门年度一般公共预算财政拨款实际支出情况。</w:t>
      </w:r>
    </w:p>
    <w:p>
      <w:pPr>
        <w:rPr>
          <w:rFonts w:ascii="仿宋" w:hAnsi="仿宋" w:eastAsia="仿宋" w:cs="宋体"/>
          <w:kern w:val="0"/>
          <w:sz w:val="22"/>
          <w:szCs w:val="22"/>
        </w:rPr>
      </w:pPr>
    </w:p>
    <w:p>
      <w:pPr>
        <w:jc w:val="center"/>
        <w:rPr>
          <w:rFonts w:ascii="仿宋" w:hAnsi="仿宋" w:eastAsia="仿宋" w:cs="宋体"/>
          <w:kern w:val="0"/>
          <w:sz w:val="22"/>
          <w:szCs w:val="22"/>
        </w:rPr>
      </w:pPr>
      <w:r>
        <w:rPr>
          <w:rFonts w:hint="eastAsia" w:ascii="仿宋" w:hAnsi="仿宋" w:eastAsia="仿宋" w:cs="宋体"/>
          <w:kern w:val="0"/>
          <w:sz w:val="22"/>
          <w:szCs w:val="22"/>
        </w:rPr>
        <w:t>表六：</w:t>
      </w:r>
      <w:r>
        <w:rPr>
          <w:rFonts w:hint="eastAsia" w:ascii="仿宋" w:hAnsi="仿宋" w:eastAsia="仿宋"/>
          <w:sz w:val="22"/>
          <w:szCs w:val="22"/>
        </w:rPr>
        <w:t>一般</w:t>
      </w:r>
      <w:r>
        <w:rPr>
          <w:rFonts w:hint="eastAsia" w:ascii="仿宋" w:hAnsi="仿宋" w:eastAsia="仿宋" w:cs="宋体"/>
          <w:kern w:val="0"/>
          <w:sz w:val="22"/>
          <w:szCs w:val="22"/>
        </w:rPr>
        <w:t>公共预算财政拨款基本支出决算表</w:t>
      </w:r>
    </w:p>
    <w:tbl>
      <w:tblPr>
        <w:tblStyle w:val="5"/>
        <w:tblW w:w="5386" w:type="pct"/>
        <w:tblInd w:w="0" w:type="dxa"/>
        <w:tblLayout w:type="fixed"/>
        <w:tblCellMar>
          <w:top w:w="0" w:type="dxa"/>
          <w:left w:w="108" w:type="dxa"/>
          <w:bottom w:w="0" w:type="dxa"/>
          <w:right w:w="108" w:type="dxa"/>
        </w:tblCellMar>
      </w:tblPr>
      <w:tblGrid>
        <w:gridCol w:w="815"/>
        <w:gridCol w:w="1419"/>
        <w:gridCol w:w="1419"/>
        <w:gridCol w:w="472"/>
        <w:gridCol w:w="237"/>
        <w:gridCol w:w="850"/>
        <w:gridCol w:w="993"/>
        <w:gridCol w:w="709"/>
        <w:gridCol w:w="424"/>
        <w:gridCol w:w="711"/>
        <w:gridCol w:w="488"/>
        <w:gridCol w:w="643"/>
      </w:tblGrid>
      <w:tr>
        <w:tblPrEx>
          <w:tblCellMar>
            <w:top w:w="0" w:type="dxa"/>
            <w:left w:w="108" w:type="dxa"/>
            <w:bottom w:w="0" w:type="dxa"/>
            <w:right w:w="108" w:type="dxa"/>
          </w:tblCellMar>
        </w:tblPrEx>
        <w:trPr>
          <w:trHeight w:val="255" w:hRule="atLeast"/>
        </w:trPr>
        <w:tc>
          <w:tcPr>
            <w:tcW w:w="2247" w:type="pct"/>
            <w:gridSpan w:val="4"/>
            <w:tcBorders>
              <w:top w:val="nil"/>
              <w:left w:val="nil"/>
              <w:bottom w:val="nil"/>
              <w:right w:val="nil"/>
            </w:tcBorders>
            <w:noWrap/>
            <w:vAlign w:val="bottom"/>
          </w:tcPr>
          <w:p>
            <w:pPr>
              <w:widowControl/>
              <w:jc w:val="left"/>
              <w:rPr>
                <w:rFonts w:ascii="仿宋" w:hAnsi="仿宋" w:eastAsia="仿宋" w:cs="Arial"/>
                <w:color w:val="000000"/>
                <w:kern w:val="0"/>
                <w:sz w:val="22"/>
                <w:szCs w:val="22"/>
              </w:rPr>
            </w:pPr>
            <w:r>
              <w:rPr>
                <w:rFonts w:hint="eastAsia" w:ascii="仿宋" w:hAnsi="仿宋" w:eastAsia="仿宋" w:cs="Arial"/>
                <w:color w:val="000000"/>
                <w:kern w:val="0"/>
                <w:sz w:val="22"/>
                <w:szCs w:val="22"/>
              </w:rPr>
              <w:t>部门：防城港市公共资源交易中心</w:t>
            </w:r>
          </w:p>
        </w:tc>
        <w:tc>
          <w:tcPr>
            <w:tcW w:w="2753" w:type="pct"/>
            <w:gridSpan w:val="8"/>
            <w:tcBorders>
              <w:top w:val="nil"/>
              <w:left w:val="nil"/>
              <w:bottom w:val="nil"/>
              <w:right w:val="nil"/>
            </w:tcBorders>
            <w:noWrap/>
            <w:vAlign w:val="bottom"/>
          </w:tcPr>
          <w:p>
            <w:pPr>
              <w:widowControl/>
              <w:ind w:right="800" w:firstLine="2420" w:firstLineChars="1100"/>
              <w:rPr>
                <w:rFonts w:ascii="仿宋" w:hAnsi="仿宋" w:eastAsia="仿宋" w:cs="Arial"/>
                <w:color w:val="000000"/>
                <w:kern w:val="0"/>
                <w:sz w:val="22"/>
                <w:szCs w:val="22"/>
              </w:rPr>
            </w:pPr>
            <w:r>
              <w:rPr>
                <w:rFonts w:hint="eastAsia" w:ascii="仿宋" w:hAnsi="仿宋" w:eastAsia="仿宋" w:cs="Arial"/>
                <w:color w:val="000000"/>
                <w:kern w:val="0"/>
                <w:sz w:val="22"/>
                <w:szCs w:val="22"/>
              </w:rPr>
              <w:t>金额单位：元</w:t>
            </w:r>
          </w:p>
        </w:tc>
      </w:tr>
      <w:tr>
        <w:tblPrEx>
          <w:tblCellMar>
            <w:top w:w="0" w:type="dxa"/>
            <w:left w:w="108" w:type="dxa"/>
            <w:bottom w:w="0" w:type="dxa"/>
            <w:right w:w="108" w:type="dxa"/>
          </w:tblCellMar>
        </w:tblPrEx>
        <w:trPr>
          <w:gridAfter w:val="1"/>
          <w:wAfter w:w="350" w:type="pct"/>
          <w:trHeight w:val="308" w:hRule="atLeast"/>
        </w:trPr>
        <w:tc>
          <w:tcPr>
            <w:tcW w:w="1990"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人员经费</w:t>
            </w:r>
          </w:p>
        </w:tc>
        <w:tc>
          <w:tcPr>
            <w:tcW w:w="2660" w:type="pct"/>
            <w:gridSpan w:val="8"/>
            <w:tcBorders>
              <w:top w:val="single" w:color="000000" w:sz="4" w:space="0"/>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公用经费</w:t>
            </w:r>
          </w:p>
        </w:tc>
      </w:tr>
      <w:tr>
        <w:tblPrEx>
          <w:tblCellMar>
            <w:top w:w="0" w:type="dxa"/>
            <w:left w:w="108" w:type="dxa"/>
            <w:bottom w:w="0" w:type="dxa"/>
            <w:right w:w="108" w:type="dxa"/>
          </w:tblCellMar>
        </w:tblPrEx>
        <w:trPr>
          <w:gridAfter w:val="1"/>
          <w:wAfter w:w="350" w:type="pct"/>
          <w:trHeight w:val="624" w:hRule="atLeast"/>
        </w:trPr>
        <w:tc>
          <w:tcPr>
            <w:tcW w:w="444" w:type="pct"/>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科目编码</w:t>
            </w:r>
          </w:p>
        </w:tc>
        <w:tc>
          <w:tcPr>
            <w:tcW w:w="773"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773"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c>
          <w:tcPr>
            <w:tcW w:w="386" w:type="pct"/>
            <w:gridSpan w:val="2"/>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科目编码</w:t>
            </w:r>
          </w:p>
        </w:tc>
        <w:tc>
          <w:tcPr>
            <w:tcW w:w="463"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541"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c>
          <w:tcPr>
            <w:tcW w:w="386"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科目编码</w:t>
            </w:r>
          </w:p>
        </w:tc>
        <w:tc>
          <w:tcPr>
            <w:tcW w:w="618" w:type="pct"/>
            <w:gridSpan w:val="2"/>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66"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r>
      <w:tr>
        <w:tblPrEx>
          <w:tblCellMar>
            <w:top w:w="0" w:type="dxa"/>
            <w:left w:w="108" w:type="dxa"/>
            <w:bottom w:w="0" w:type="dxa"/>
            <w:right w:w="108" w:type="dxa"/>
          </w:tblCellMar>
        </w:tblPrEx>
        <w:trPr>
          <w:gridAfter w:val="1"/>
          <w:wAfter w:w="350" w:type="pct"/>
          <w:trHeight w:val="624" w:hRule="atLeast"/>
        </w:trPr>
        <w:tc>
          <w:tcPr>
            <w:tcW w:w="444"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773"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773"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86" w:type="pct"/>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63"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41"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86"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618" w:type="pct"/>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66"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gridAfter w:val="1"/>
          <w:wAfter w:w="350" w:type="pct"/>
          <w:trHeight w:val="308" w:hRule="atLeast"/>
        </w:trPr>
        <w:tc>
          <w:tcPr>
            <w:tcW w:w="44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w:t>
            </w:r>
          </w:p>
        </w:tc>
        <w:tc>
          <w:tcPr>
            <w:tcW w:w="77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工资福利支出</w:t>
            </w:r>
          </w:p>
        </w:tc>
        <w:tc>
          <w:tcPr>
            <w:tcW w:w="77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2,237,416.45</w:t>
            </w:r>
          </w:p>
        </w:tc>
        <w:tc>
          <w:tcPr>
            <w:tcW w:w="386"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w:t>
            </w:r>
          </w:p>
        </w:tc>
        <w:tc>
          <w:tcPr>
            <w:tcW w:w="46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商品和服务支出</w:t>
            </w:r>
          </w:p>
        </w:tc>
        <w:tc>
          <w:tcPr>
            <w:tcW w:w="5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96,746.60</w:t>
            </w:r>
          </w:p>
        </w:tc>
        <w:tc>
          <w:tcPr>
            <w:tcW w:w="38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307</w:t>
            </w:r>
          </w:p>
        </w:tc>
        <w:tc>
          <w:tcPr>
            <w:tcW w:w="618"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债务利息及费用支出</w:t>
            </w:r>
          </w:p>
        </w:tc>
        <w:tc>
          <w:tcPr>
            <w:tcW w:w="26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0" w:type="pct"/>
          <w:trHeight w:val="308" w:hRule="atLeast"/>
        </w:trPr>
        <w:tc>
          <w:tcPr>
            <w:tcW w:w="44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30101</w:t>
            </w:r>
          </w:p>
        </w:tc>
        <w:tc>
          <w:tcPr>
            <w:tcW w:w="77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基本工资</w:t>
            </w:r>
          </w:p>
        </w:tc>
        <w:tc>
          <w:tcPr>
            <w:tcW w:w="77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521,484.00</w:t>
            </w:r>
          </w:p>
        </w:tc>
        <w:tc>
          <w:tcPr>
            <w:tcW w:w="386"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30201</w:t>
            </w:r>
          </w:p>
        </w:tc>
        <w:tc>
          <w:tcPr>
            <w:tcW w:w="46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办公费</w:t>
            </w:r>
          </w:p>
        </w:tc>
        <w:tc>
          <w:tcPr>
            <w:tcW w:w="5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7,538.00</w:t>
            </w:r>
          </w:p>
        </w:tc>
        <w:tc>
          <w:tcPr>
            <w:tcW w:w="38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30701</w:t>
            </w:r>
          </w:p>
        </w:tc>
        <w:tc>
          <w:tcPr>
            <w:tcW w:w="618"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国内债务付息</w:t>
            </w:r>
          </w:p>
        </w:tc>
        <w:tc>
          <w:tcPr>
            <w:tcW w:w="26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0" w:type="pct"/>
          <w:trHeight w:val="308" w:hRule="atLeast"/>
        </w:trPr>
        <w:tc>
          <w:tcPr>
            <w:tcW w:w="44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30102</w:t>
            </w:r>
          </w:p>
        </w:tc>
        <w:tc>
          <w:tcPr>
            <w:tcW w:w="77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津贴补贴</w:t>
            </w:r>
          </w:p>
        </w:tc>
        <w:tc>
          <w:tcPr>
            <w:tcW w:w="77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284,658.00</w:t>
            </w:r>
          </w:p>
        </w:tc>
        <w:tc>
          <w:tcPr>
            <w:tcW w:w="386"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30202</w:t>
            </w:r>
          </w:p>
        </w:tc>
        <w:tc>
          <w:tcPr>
            <w:tcW w:w="46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印刷费</w:t>
            </w:r>
          </w:p>
        </w:tc>
        <w:tc>
          <w:tcPr>
            <w:tcW w:w="5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30702</w:t>
            </w:r>
          </w:p>
        </w:tc>
        <w:tc>
          <w:tcPr>
            <w:tcW w:w="618"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国外债务付息</w:t>
            </w:r>
          </w:p>
        </w:tc>
        <w:tc>
          <w:tcPr>
            <w:tcW w:w="26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0" w:type="pct"/>
          <w:trHeight w:val="308" w:hRule="atLeast"/>
        </w:trPr>
        <w:tc>
          <w:tcPr>
            <w:tcW w:w="44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30103</w:t>
            </w:r>
          </w:p>
        </w:tc>
        <w:tc>
          <w:tcPr>
            <w:tcW w:w="77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奖金</w:t>
            </w:r>
          </w:p>
        </w:tc>
        <w:tc>
          <w:tcPr>
            <w:tcW w:w="77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748,704.00</w:t>
            </w:r>
          </w:p>
        </w:tc>
        <w:tc>
          <w:tcPr>
            <w:tcW w:w="386"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30203</w:t>
            </w:r>
          </w:p>
        </w:tc>
        <w:tc>
          <w:tcPr>
            <w:tcW w:w="46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咨询费</w:t>
            </w:r>
          </w:p>
        </w:tc>
        <w:tc>
          <w:tcPr>
            <w:tcW w:w="5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w:t>
            </w:r>
          </w:p>
        </w:tc>
        <w:tc>
          <w:tcPr>
            <w:tcW w:w="618"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资本性支出</w:t>
            </w:r>
          </w:p>
        </w:tc>
        <w:tc>
          <w:tcPr>
            <w:tcW w:w="26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0" w:type="pct"/>
          <w:trHeight w:val="308" w:hRule="atLeast"/>
        </w:trPr>
        <w:tc>
          <w:tcPr>
            <w:tcW w:w="44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30106</w:t>
            </w:r>
          </w:p>
        </w:tc>
        <w:tc>
          <w:tcPr>
            <w:tcW w:w="77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伙食补助费</w:t>
            </w:r>
          </w:p>
        </w:tc>
        <w:tc>
          <w:tcPr>
            <w:tcW w:w="77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30204</w:t>
            </w:r>
          </w:p>
        </w:tc>
        <w:tc>
          <w:tcPr>
            <w:tcW w:w="46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手续费</w:t>
            </w:r>
          </w:p>
        </w:tc>
        <w:tc>
          <w:tcPr>
            <w:tcW w:w="5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31001</w:t>
            </w:r>
          </w:p>
        </w:tc>
        <w:tc>
          <w:tcPr>
            <w:tcW w:w="618"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房屋建筑物购建</w:t>
            </w:r>
          </w:p>
        </w:tc>
        <w:tc>
          <w:tcPr>
            <w:tcW w:w="26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0" w:type="pct"/>
          <w:trHeight w:val="308" w:hRule="atLeast"/>
        </w:trPr>
        <w:tc>
          <w:tcPr>
            <w:tcW w:w="44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30107</w:t>
            </w:r>
          </w:p>
        </w:tc>
        <w:tc>
          <w:tcPr>
            <w:tcW w:w="77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绩效工资</w:t>
            </w:r>
          </w:p>
        </w:tc>
        <w:tc>
          <w:tcPr>
            <w:tcW w:w="77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124,809.00</w:t>
            </w:r>
          </w:p>
        </w:tc>
        <w:tc>
          <w:tcPr>
            <w:tcW w:w="386"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30205</w:t>
            </w:r>
          </w:p>
        </w:tc>
        <w:tc>
          <w:tcPr>
            <w:tcW w:w="46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水费</w:t>
            </w:r>
          </w:p>
        </w:tc>
        <w:tc>
          <w:tcPr>
            <w:tcW w:w="5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31002</w:t>
            </w:r>
          </w:p>
        </w:tc>
        <w:tc>
          <w:tcPr>
            <w:tcW w:w="618"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办公设备购置</w:t>
            </w:r>
          </w:p>
        </w:tc>
        <w:tc>
          <w:tcPr>
            <w:tcW w:w="26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0" w:type="pct"/>
          <w:trHeight w:val="308" w:hRule="atLeast"/>
        </w:trPr>
        <w:tc>
          <w:tcPr>
            <w:tcW w:w="44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30108</w:t>
            </w:r>
          </w:p>
        </w:tc>
        <w:tc>
          <w:tcPr>
            <w:tcW w:w="77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机关事业单位基本养老保险缴费</w:t>
            </w:r>
          </w:p>
        </w:tc>
        <w:tc>
          <w:tcPr>
            <w:tcW w:w="77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234,031.13</w:t>
            </w:r>
          </w:p>
        </w:tc>
        <w:tc>
          <w:tcPr>
            <w:tcW w:w="386"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30206</w:t>
            </w:r>
          </w:p>
        </w:tc>
        <w:tc>
          <w:tcPr>
            <w:tcW w:w="46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电费</w:t>
            </w:r>
          </w:p>
        </w:tc>
        <w:tc>
          <w:tcPr>
            <w:tcW w:w="5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31003</w:t>
            </w:r>
          </w:p>
        </w:tc>
        <w:tc>
          <w:tcPr>
            <w:tcW w:w="618"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专用设备购置</w:t>
            </w:r>
          </w:p>
        </w:tc>
        <w:tc>
          <w:tcPr>
            <w:tcW w:w="26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0" w:type="pct"/>
          <w:trHeight w:val="308" w:hRule="atLeast"/>
        </w:trPr>
        <w:tc>
          <w:tcPr>
            <w:tcW w:w="44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30109</w:t>
            </w:r>
          </w:p>
        </w:tc>
        <w:tc>
          <w:tcPr>
            <w:tcW w:w="77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职业年金缴费</w:t>
            </w:r>
          </w:p>
        </w:tc>
        <w:tc>
          <w:tcPr>
            <w:tcW w:w="77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30207</w:t>
            </w:r>
          </w:p>
        </w:tc>
        <w:tc>
          <w:tcPr>
            <w:tcW w:w="46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邮电费</w:t>
            </w:r>
          </w:p>
        </w:tc>
        <w:tc>
          <w:tcPr>
            <w:tcW w:w="5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2,179.95</w:t>
            </w:r>
          </w:p>
        </w:tc>
        <w:tc>
          <w:tcPr>
            <w:tcW w:w="38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31005</w:t>
            </w:r>
          </w:p>
        </w:tc>
        <w:tc>
          <w:tcPr>
            <w:tcW w:w="618"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基础设施建设</w:t>
            </w:r>
          </w:p>
        </w:tc>
        <w:tc>
          <w:tcPr>
            <w:tcW w:w="26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0" w:type="pct"/>
          <w:trHeight w:val="308" w:hRule="atLeast"/>
        </w:trPr>
        <w:tc>
          <w:tcPr>
            <w:tcW w:w="44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30110</w:t>
            </w:r>
          </w:p>
        </w:tc>
        <w:tc>
          <w:tcPr>
            <w:tcW w:w="77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职工基本医疗保险缴费</w:t>
            </w:r>
          </w:p>
        </w:tc>
        <w:tc>
          <w:tcPr>
            <w:tcW w:w="77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56,063.52</w:t>
            </w:r>
          </w:p>
        </w:tc>
        <w:tc>
          <w:tcPr>
            <w:tcW w:w="386"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30208</w:t>
            </w:r>
          </w:p>
        </w:tc>
        <w:tc>
          <w:tcPr>
            <w:tcW w:w="46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取暖费</w:t>
            </w:r>
          </w:p>
        </w:tc>
        <w:tc>
          <w:tcPr>
            <w:tcW w:w="5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31006</w:t>
            </w:r>
          </w:p>
        </w:tc>
        <w:tc>
          <w:tcPr>
            <w:tcW w:w="618"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大型修缮</w:t>
            </w:r>
          </w:p>
        </w:tc>
        <w:tc>
          <w:tcPr>
            <w:tcW w:w="26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0" w:type="pct"/>
          <w:trHeight w:val="308" w:hRule="atLeast"/>
        </w:trPr>
        <w:tc>
          <w:tcPr>
            <w:tcW w:w="44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30111</w:t>
            </w:r>
          </w:p>
        </w:tc>
        <w:tc>
          <w:tcPr>
            <w:tcW w:w="77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公务员医疗补助缴费</w:t>
            </w:r>
          </w:p>
        </w:tc>
        <w:tc>
          <w:tcPr>
            <w:tcW w:w="77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45,594.60</w:t>
            </w:r>
          </w:p>
        </w:tc>
        <w:tc>
          <w:tcPr>
            <w:tcW w:w="386"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30209</w:t>
            </w:r>
          </w:p>
        </w:tc>
        <w:tc>
          <w:tcPr>
            <w:tcW w:w="46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物业管理费</w:t>
            </w:r>
          </w:p>
        </w:tc>
        <w:tc>
          <w:tcPr>
            <w:tcW w:w="5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31007</w:t>
            </w:r>
          </w:p>
        </w:tc>
        <w:tc>
          <w:tcPr>
            <w:tcW w:w="618"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信息网络及软件购置更新</w:t>
            </w:r>
          </w:p>
        </w:tc>
        <w:tc>
          <w:tcPr>
            <w:tcW w:w="26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0" w:type="pct"/>
          <w:trHeight w:val="308" w:hRule="atLeast"/>
        </w:trPr>
        <w:tc>
          <w:tcPr>
            <w:tcW w:w="44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30112</w:t>
            </w:r>
          </w:p>
        </w:tc>
        <w:tc>
          <w:tcPr>
            <w:tcW w:w="77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其他社会保障缴费</w:t>
            </w:r>
          </w:p>
        </w:tc>
        <w:tc>
          <w:tcPr>
            <w:tcW w:w="77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5,472.20</w:t>
            </w:r>
          </w:p>
        </w:tc>
        <w:tc>
          <w:tcPr>
            <w:tcW w:w="386"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30211</w:t>
            </w:r>
          </w:p>
        </w:tc>
        <w:tc>
          <w:tcPr>
            <w:tcW w:w="46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差旅费</w:t>
            </w:r>
          </w:p>
        </w:tc>
        <w:tc>
          <w:tcPr>
            <w:tcW w:w="5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3,160.00</w:t>
            </w:r>
          </w:p>
        </w:tc>
        <w:tc>
          <w:tcPr>
            <w:tcW w:w="38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31008</w:t>
            </w:r>
          </w:p>
        </w:tc>
        <w:tc>
          <w:tcPr>
            <w:tcW w:w="618"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物资储备</w:t>
            </w:r>
          </w:p>
        </w:tc>
        <w:tc>
          <w:tcPr>
            <w:tcW w:w="26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0" w:type="pct"/>
          <w:trHeight w:val="308" w:hRule="atLeast"/>
        </w:trPr>
        <w:tc>
          <w:tcPr>
            <w:tcW w:w="44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30113</w:t>
            </w:r>
          </w:p>
        </w:tc>
        <w:tc>
          <w:tcPr>
            <w:tcW w:w="77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住房公积金</w:t>
            </w:r>
          </w:p>
        </w:tc>
        <w:tc>
          <w:tcPr>
            <w:tcW w:w="77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199,600.00</w:t>
            </w:r>
          </w:p>
        </w:tc>
        <w:tc>
          <w:tcPr>
            <w:tcW w:w="386"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30212</w:t>
            </w:r>
          </w:p>
        </w:tc>
        <w:tc>
          <w:tcPr>
            <w:tcW w:w="46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因公出国（境）费用</w:t>
            </w:r>
          </w:p>
        </w:tc>
        <w:tc>
          <w:tcPr>
            <w:tcW w:w="5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31009</w:t>
            </w:r>
          </w:p>
        </w:tc>
        <w:tc>
          <w:tcPr>
            <w:tcW w:w="618"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土地补偿</w:t>
            </w:r>
          </w:p>
        </w:tc>
        <w:tc>
          <w:tcPr>
            <w:tcW w:w="26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0" w:type="pct"/>
          <w:trHeight w:val="308" w:hRule="atLeast"/>
        </w:trPr>
        <w:tc>
          <w:tcPr>
            <w:tcW w:w="44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30114</w:t>
            </w:r>
          </w:p>
        </w:tc>
        <w:tc>
          <w:tcPr>
            <w:tcW w:w="77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医疗费</w:t>
            </w:r>
          </w:p>
        </w:tc>
        <w:tc>
          <w:tcPr>
            <w:tcW w:w="77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30213</w:t>
            </w:r>
          </w:p>
        </w:tc>
        <w:tc>
          <w:tcPr>
            <w:tcW w:w="46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维修（护）费</w:t>
            </w:r>
          </w:p>
        </w:tc>
        <w:tc>
          <w:tcPr>
            <w:tcW w:w="5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1,500.00</w:t>
            </w:r>
          </w:p>
        </w:tc>
        <w:tc>
          <w:tcPr>
            <w:tcW w:w="38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31010</w:t>
            </w:r>
          </w:p>
        </w:tc>
        <w:tc>
          <w:tcPr>
            <w:tcW w:w="618"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安置补助</w:t>
            </w:r>
          </w:p>
        </w:tc>
        <w:tc>
          <w:tcPr>
            <w:tcW w:w="26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0" w:type="pct"/>
          <w:trHeight w:val="308" w:hRule="atLeast"/>
        </w:trPr>
        <w:tc>
          <w:tcPr>
            <w:tcW w:w="44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30199</w:t>
            </w:r>
          </w:p>
        </w:tc>
        <w:tc>
          <w:tcPr>
            <w:tcW w:w="77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其他工资福利支出</w:t>
            </w:r>
          </w:p>
        </w:tc>
        <w:tc>
          <w:tcPr>
            <w:tcW w:w="77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17,000.00</w:t>
            </w:r>
          </w:p>
        </w:tc>
        <w:tc>
          <w:tcPr>
            <w:tcW w:w="386"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30214</w:t>
            </w:r>
          </w:p>
        </w:tc>
        <w:tc>
          <w:tcPr>
            <w:tcW w:w="46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租赁费</w:t>
            </w:r>
          </w:p>
        </w:tc>
        <w:tc>
          <w:tcPr>
            <w:tcW w:w="5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31011</w:t>
            </w:r>
          </w:p>
        </w:tc>
        <w:tc>
          <w:tcPr>
            <w:tcW w:w="618"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地上附着物和青苗补偿</w:t>
            </w:r>
          </w:p>
        </w:tc>
        <w:tc>
          <w:tcPr>
            <w:tcW w:w="26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0" w:type="pct"/>
          <w:trHeight w:val="308" w:hRule="atLeast"/>
        </w:trPr>
        <w:tc>
          <w:tcPr>
            <w:tcW w:w="44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w:t>
            </w:r>
          </w:p>
        </w:tc>
        <w:tc>
          <w:tcPr>
            <w:tcW w:w="77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对个人和家庭的补助</w:t>
            </w:r>
          </w:p>
        </w:tc>
        <w:tc>
          <w:tcPr>
            <w:tcW w:w="77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3,000.00</w:t>
            </w:r>
          </w:p>
        </w:tc>
        <w:tc>
          <w:tcPr>
            <w:tcW w:w="386"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30215</w:t>
            </w:r>
          </w:p>
        </w:tc>
        <w:tc>
          <w:tcPr>
            <w:tcW w:w="46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会议费</w:t>
            </w:r>
          </w:p>
        </w:tc>
        <w:tc>
          <w:tcPr>
            <w:tcW w:w="5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31012</w:t>
            </w:r>
          </w:p>
        </w:tc>
        <w:tc>
          <w:tcPr>
            <w:tcW w:w="618"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拆迁补偿</w:t>
            </w:r>
          </w:p>
        </w:tc>
        <w:tc>
          <w:tcPr>
            <w:tcW w:w="26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0" w:type="pct"/>
          <w:trHeight w:val="308" w:hRule="atLeast"/>
        </w:trPr>
        <w:tc>
          <w:tcPr>
            <w:tcW w:w="44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30301</w:t>
            </w:r>
          </w:p>
        </w:tc>
        <w:tc>
          <w:tcPr>
            <w:tcW w:w="77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离休费</w:t>
            </w:r>
          </w:p>
        </w:tc>
        <w:tc>
          <w:tcPr>
            <w:tcW w:w="77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30216</w:t>
            </w:r>
          </w:p>
        </w:tc>
        <w:tc>
          <w:tcPr>
            <w:tcW w:w="46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培训费</w:t>
            </w:r>
          </w:p>
        </w:tc>
        <w:tc>
          <w:tcPr>
            <w:tcW w:w="5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31013</w:t>
            </w:r>
          </w:p>
        </w:tc>
        <w:tc>
          <w:tcPr>
            <w:tcW w:w="618"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公务用车购置</w:t>
            </w:r>
          </w:p>
        </w:tc>
        <w:tc>
          <w:tcPr>
            <w:tcW w:w="26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0" w:type="pct"/>
          <w:trHeight w:val="308" w:hRule="atLeast"/>
        </w:trPr>
        <w:tc>
          <w:tcPr>
            <w:tcW w:w="44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30302</w:t>
            </w:r>
          </w:p>
        </w:tc>
        <w:tc>
          <w:tcPr>
            <w:tcW w:w="77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退休费</w:t>
            </w:r>
          </w:p>
        </w:tc>
        <w:tc>
          <w:tcPr>
            <w:tcW w:w="77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30217</w:t>
            </w:r>
          </w:p>
        </w:tc>
        <w:tc>
          <w:tcPr>
            <w:tcW w:w="46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公务接待费</w:t>
            </w:r>
          </w:p>
        </w:tc>
        <w:tc>
          <w:tcPr>
            <w:tcW w:w="5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31019</w:t>
            </w:r>
          </w:p>
        </w:tc>
        <w:tc>
          <w:tcPr>
            <w:tcW w:w="618"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其他交通工具购置</w:t>
            </w:r>
          </w:p>
        </w:tc>
        <w:tc>
          <w:tcPr>
            <w:tcW w:w="26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0" w:type="pct"/>
          <w:trHeight w:val="308" w:hRule="atLeast"/>
        </w:trPr>
        <w:tc>
          <w:tcPr>
            <w:tcW w:w="44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30303</w:t>
            </w:r>
          </w:p>
        </w:tc>
        <w:tc>
          <w:tcPr>
            <w:tcW w:w="77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退职（役）费</w:t>
            </w:r>
          </w:p>
        </w:tc>
        <w:tc>
          <w:tcPr>
            <w:tcW w:w="77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30218</w:t>
            </w:r>
          </w:p>
        </w:tc>
        <w:tc>
          <w:tcPr>
            <w:tcW w:w="46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专用材料费</w:t>
            </w:r>
          </w:p>
        </w:tc>
        <w:tc>
          <w:tcPr>
            <w:tcW w:w="5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31021</w:t>
            </w:r>
          </w:p>
        </w:tc>
        <w:tc>
          <w:tcPr>
            <w:tcW w:w="618"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文物和陈列品购置</w:t>
            </w:r>
          </w:p>
        </w:tc>
        <w:tc>
          <w:tcPr>
            <w:tcW w:w="26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0" w:type="pct"/>
          <w:trHeight w:val="308" w:hRule="atLeast"/>
        </w:trPr>
        <w:tc>
          <w:tcPr>
            <w:tcW w:w="44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30304</w:t>
            </w:r>
          </w:p>
        </w:tc>
        <w:tc>
          <w:tcPr>
            <w:tcW w:w="77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抚恤金</w:t>
            </w:r>
          </w:p>
        </w:tc>
        <w:tc>
          <w:tcPr>
            <w:tcW w:w="77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30224</w:t>
            </w:r>
          </w:p>
        </w:tc>
        <w:tc>
          <w:tcPr>
            <w:tcW w:w="46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被装购置费</w:t>
            </w:r>
          </w:p>
        </w:tc>
        <w:tc>
          <w:tcPr>
            <w:tcW w:w="5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31022</w:t>
            </w:r>
          </w:p>
        </w:tc>
        <w:tc>
          <w:tcPr>
            <w:tcW w:w="618"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无形资产购置</w:t>
            </w:r>
          </w:p>
        </w:tc>
        <w:tc>
          <w:tcPr>
            <w:tcW w:w="26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0" w:type="pct"/>
          <w:trHeight w:val="308" w:hRule="atLeast"/>
        </w:trPr>
        <w:tc>
          <w:tcPr>
            <w:tcW w:w="44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30305</w:t>
            </w:r>
          </w:p>
        </w:tc>
        <w:tc>
          <w:tcPr>
            <w:tcW w:w="77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生活补助</w:t>
            </w:r>
          </w:p>
        </w:tc>
        <w:tc>
          <w:tcPr>
            <w:tcW w:w="77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30225</w:t>
            </w:r>
          </w:p>
        </w:tc>
        <w:tc>
          <w:tcPr>
            <w:tcW w:w="46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专用燃料费</w:t>
            </w:r>
          </w:p>
        </w:tc>
        <w:tc>
          <w:tcPr>
            <w:tcW w:w="5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31099</w:t>
            </w:r>
          </w:p>
        </w:tc>
        <w:tc>
          <w:tcPr>
            <w:tcW w:w="618"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其他资本性支出</w:t>
            </w:r>
          </w:p>
        </w:tc>
        <w:tc>
          <w:tcPr>
            <w:tcW w:w="26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0" w:type="pct"/>
          <w:trHeight w:val="308" w:hRule="atLeast"/>
        </w:trPr>
        <w:tc>
          <w:tcPr>
            <w:tcW w:w="44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30306</w:t>
            </w:r>
          </w:p>
        </w:tc>
        <w:tc>
          <w:tcPr>
            <w:tcW w:w="77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救济费</w:t>
            </w:r>
          </w:p>
        </w:tc>
        <w:tc>
          <w:tcPr>
            <w:tcW w:w="77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30226</w:t>
            </w:r>
          </w:p>
        </w:tc>
        <w:tc>
          <w:tcPr>
            <w:tcW w:w="46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劳务费</w:t>
            </w:r>
          </w:p>
        </w:tc>
        <w:tc>
          <w:tcPr>
            <w:tcW w:w="5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399</w:t>
            </w:r>
          </w:p>
        </w:tc>
        <w:tc>
          <w:tcPr>
            <w:tcW w:w="618"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其他支出</w:t>
            </w:r>
          </w:p>
        </w:tc>
        <w:tc>
          <w:tcPr>
            <w:tcW w:w="26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0" w:type="pct"/>
          <w:trHeight w:val="308" w:hRule="atLeast"/>
        </w:trPr>
        <w:tc>
          <w:tcPr>
            <w:tcW w:w="44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30307</w:t>
            </w:r>
          </w:p>
        </w:tc>
        <w:tc>
          <w:tcPr>
            <w:tcW w:w="77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医疗费补助</w:t>
            </w:r>
          </w:p>
        </w:tc>
        <w:tc>
          <w:tcPr>
            <w:tcW w:w="77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30227</w:t>
            </w:r>
          </w:p>
        </w:tc>
        <w:tc>
          <w:tcPr>
            <w:tcW w:w="46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委托业务费</w:t>
            </w:r>
          </w:p>
        </w:tc>
        <w:tc>
          <w:tcPr>
            <w:tcW w:w="5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39906</w:t>
            </w:r>
          </w:p>
        </w:tc>
        <w:tc>
          <w:tcPr>
            <w:tcW w:w="618"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赠与</w:t>
            </w:r>
          </w:p>
        </w:tc>
        <w:tc>
          <w:tcPr>
            <w:tcW w:w="26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0" w:type="pct"/>
          <w:trHeight w:val="308" w:hRule="atLeast"/>
        </w:trPr>
        <w:tc>
          <w:tcPr>
            <w:tcW w:w="44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30308</w:t>
            </w:r>
          </w:p>
        </w:tc>
        <w:tc>
          <w:tcPr>
            <w:tcW w:w="77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助学金</w:t>
            </w:r>
          </w:p>
        </w:tc>
        <w:tc>
          <w:tcPr>
            <w:tcW w:w="77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30228</w:t>
            </w:r>
          </w:p>
        </w:tc>
        <w:tc>
          <w:tcPr>
            <w:tcW w:w="46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工会经费</w:t>
            </w:r>
          </w:p>
        </w:tc>
        <w:tc>
          <w:tcPr>
            <w:tcW w:w="5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39907</w:t>
            </w:r>
          </w:p>
        </w:tc>
        <w:tc>
          <w:tcPr>
            <w:tcW w:w="618"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国家赔偿费用支出</w:t>
            </w:r>
          </w:p>
        </w:tc>
        <w:tc>
          <w:tcPr>
            <w:tcW w:w="26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0" w:type="pct"/>
          <w:trHeight w:val="308" w:hRule="atLeast"/>
        </w:trPr>
        <w:tc>
          <w:tcPr>
            <w:tcW w:w="44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30309</w:t>
            </w:r>
          </w:p>
        </w:tc>
        <w:tc>
          <w:tcPr>
            <w:tcW w:w="77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奖励金</w:t>
            </w:r>
          </w:p>
        </w:tc>
        <w:tc>
          <w:tcPr>
            <w:tcW w:w="77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3,000.00</w:t>
            </w:r>
          </w:p>
        </w:tc>
        <w:tc>
          <w:tcPr>
            <w:tcW w:w="386"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30229</w:t>
            </w:r>
          </w:p>
        </w:tc>
        <w:tc>
          <w:tcPr>
            <w:tcW w:w="46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福利费</w:t>
            </w:r>
          </w:p>
        </w:tc>
        <w:tc>
          <w:tcPr>
            <w:tcW w:w="5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39908</w:t>
            </w:r>
          </w:p>
        </w:tc>
        <w:tc>
          <w:tcPr>
            <w:tcW w:w="618"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对民间非营利组织和群众性自治组织补贴</w:t>
            </w:r>
          </w:p>
        </w:tc>
        <w:tc>
          <w:tcPr>
            <w:tcW w:w="26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0" w:type="pct"/>
          <w:trHeight w:val="308" w:hRule="atLeast"/>
        </w:trPr>
        <w:tc>
          <w:tcPr>
            <w:tcW w:w="44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30310</w:t>
            </w:r>
          </w:p>
        </w:tc>
        <w:tc>
          <w:tcPr>
            <w:tcW w:w="77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个人农业生产补贴</w:t>
            </w:r>
          </w:p>
        </w:tc>
        <w:tc>
          <w:tcPr>
            <w:tcW w:w="77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30231</w:t>
            </w:r>
          </w:p>
        </w:tc>
        <w:tc>
          <w:tcPr>
            <w:tcW w:w="46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公务用车运行维护费</w:t>
            </w:r>
          </w:p>
        </w:tc>
        <w:tc>
          <w:tcPr>
            <w:tcW w:w="5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39999</w:t>
            </w:r>
          </w:p>
        </w:tc>
        <w:tc>
          <w:tcPr>
            <w:tcW w:w="618"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其他支出</w:t>
            </w:r>
          </w:p>
        </w:tc>
        <w:tc>
          <w:tcPr>
            <w:tcW w:w="26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0" w:type="pct"/>
          <w:trHeight w:val="308" w:hRule="atLeast"/>
        </w:trPr>
        <w:tc>
          <w:tcPr>
            <w:tcW w:w="44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30311</w:t>
            </w:r>
          </w:p>
        </w:tc>
        <w:tc>
          <w:tcPr>
            <w:tcW w:w="77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代缴社会保险费</w:t>
            </w:r>
          </w:p>
        </w:tc>
        <w:tc>
          <w:tcPr>
            <w:tcW w:w="77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30239</w:t>
            </w:r>
          </w:p>
        </w:tc>
        <w:tc>
          <w:tcPr>
            <w:tcW w:w="46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其他交通费用</w:t>
            </w:r>
          </w:p>
        </w:tc>
        <w:tc>
          <w:tcPr>
            <w:tcW w:w="5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18"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6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0" w:type="pct"/>
          <w:trHeight w:val="308" w:hRule="atLeast"/>
        </w:trPr>
        <w:tc>
          <w:tcPr>
            <w:tcW w:w="44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30399</w:t>
            </w:r>
          </w:p>
        </w:tc>
        <w:tc>
          <w:tcPr>
            <w:tcW w:w="77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其他对个人和家庭的补助</w:t>
            </w:r>
          </w:p>
        </w:tc>
        <w:tc>
          <w:tcPr>
            <w:tcW w:w="77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30240</w:t>
            </w:r>
          </w:p>
        </w:tc>
        <w:tc>
          <w:tcPr>
            <w:tcW w:w="46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税金及附加费用</w:t>
            </w:r>
          </w:p>
        </w:tc>
        <w:tc>
          <w:tcPr>
            <w:tcW w:w="5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99.70</w:t>
            </w:r>
          </w:p>
        </w:tc>
        <w:tc>
          <w:tcPr>
            <w:tcW w:w="38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18"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6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0" w:type="pct"/>
          <w:trHeight w:val="308" w:hRule="atLeast"/>
        </w:trPr>
        <w:tc>
          <w:tcPr>
            <w:tcW w:w="444" w:type="pct"/>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7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7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30299</w:t>
            </w:r>
          </w:p>
        </w:tc>
        <w:tc>
          <w:tcPr>
            <w:tcW w:w="463"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其他商品和服务支出</w:t>
            </w:r>
          </w:p>
        </w:tc>
        <w:tc>
          <w:tcPr>
            <w:tcW w:w="54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82,268.95</w:t>
            </w:r>
          </w:p>
        </w:tc>
        <w:tc>
          <w:tcPr>
            <w:tcW w:w="386" w:type="pct"/>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18" w:type="pct"/>
            <w:gridSpan w:val="2"/>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6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350" w:type="pct"/>
          <w:trHeight w:val="308" w:hRule="atLeast"/>
        </w:trPr>
        <w:tc>
          <w:tcPr>
            <w:tcW w:w="1217" w:type="pct"/>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人员经费合计</w:t>
            </w:r>
          </w:p>
        </w:tc>
        <w:tc>
          <w:tcPr>
            <w:tcW w:w="77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2,240,416.45</w:t>
            </w:r>
          </w:p>
        </w:tc>
        <w:tc>
          <w:tcPr>
            <w:tcW w:w="2007" w:type="pct"/>
            <w:gridSpan w:val="6"/>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公用经费合计</w:t>
            </w:r>
          </w:p>
        </w:tc>
        <w:tc>
          <w:tcPr>
            <w:tcW w:w="65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96,746.60</w:t>
            </w:r>
          </w:p>
        </w:tc>
      </w:tr>
    </w:tbl>
    <w:p>
      <w:pPr>
        <w:widowControl/>
        <w:rPr>
          <w:rFonts w:ascii="仿宋" w:hAnsi="仿宋" w:eastAsia="仿宋"/>
          <w:sz w:val="22"/>
          <w:szCs w:val="22"/>
        </w:rPr>
      </w:pPr>
      <w:r>
        <w:rPr>
          <w:rFonts w:hint="eastAsia" w:ascii="仿宋" w:hAnsi="仿宋" w:eastAsia="仿宋" w:cs="宋体"/>
          <w:kern w:val="0"/>
          <w:sz w:val="22"/>
          <w:szCs w:val="22"/>
        </w:rPr>
        <w:t>注：本表依据《一般公共预算财政拨款基本支出决算批复表》（公开06表）进行公开。</w:t>
      </w:r>
      <w:r>
        <w:rPr>
          <w:rFonts w:hint="eastAsia" w:ascii="仿宋" w:hAnsi="仿宋" w:eastAsia="仿宋"/>
          <w:sz w:val="22"/>
          <w:szCs w:val="22"/>
        </w:rPr>
        <w:t>本表反映部门本年度一般公共预算财政拨款基本支出明细情况。</w:t>
      </w:r>
    </w:p>
    <w:p>
      <w:pPr>
        <w:widowControl/>
        <w:rPr>
          <w:rFonts w:ascii="仿宋" w:hAnsi="仿宋" w:eastAsia="仿宋" w:cs="Arial"/>
          <w:color w:val="000000"/>
          <w:kern w:val="0"/>
          <w:sz w:val="22"/>
          <w:szCs w:val="22"/>
        </w:rPr>
      </w:pPr>
    </w:p>
    <w:p>
      <w:pPr>
        <w:jc w:val="center"/>
        <w:rPr>
          <w:rFonts w:ascii="仿宋" w:hAnsi="仿宋" w:eastAsia="仿宋" w:cs="宋体"/>
          <w:kern w:val="0"/>
          <w:sz w:val="22"/>
          <w:szCs w:val="22"/>
        </w:rPr>
      </w:pPr>
      <w:r>
        <w:rPr>
          <w:rFonts w:hint="eastAsia" w:ascii="仿宋" w:hAnsi="仿宋" w:eastAsia="仿宋" w:cs="宋体"/>
          <w:kern w:val="0"/>
          <w:sz w:val="22"/>
          <w:szCs w:val="22"/>
        </w:rPr>
        <w:t>表七：</w:t>
      </w:r>
      <w:r>
        <w:rPr>
          <w:rFonts w:hint="eastAsia" w:ascii="仿宋" w:hAnsi="仿宋" w:eastAsia="仿宋"/>
          <w:sz w:val="22"/>
          <w:szCs w:val="22"/>
        </w:rPr>
        <w:t>一般</w:t>
      </w:r>
      <w:r>
        <w:rPr>
          <w:rFonts w:hint="eastAsia" w:ascii="仿宋" w:hAnsi="仿宋" w:eastAsia="仿宋" w:cs="宋体"/>
          <w:kern w:val="0"/>
          <w:sz w:val="22"/>
          <w:szCs w:val="22"/>
        </w:rPr>
        <w:t>公共预算财政拨款安排的“</w:t>
      </w:r>
      <w:r>
        <w:rPr>
          <w:rFonts w:ascii="仿宋" w:hAnsi="仿宋" w:eastAsia="仿宋" w:cs="宋体"/>
          <w:kern w:val="0"/>
          <w:sz w:val="22"/>
          <w:szCs w:val="22"/>
        </w:rPr>
        <w:t>三公</w:t>
      </w:r>
      <w:r>
        <w:rPr>
          <w:rFonts w:hint="eastAsia" w:ascii="仿宋" w:hAnsi="仿宋" w:eastAsia="仿宋" w:cs="宋体"/>
          <w:kern w:val="0"/>
          <w:sz w:val="22"/>
          <w:szCs w:val="22"/>
        </w:rPr>
        <w:t>”</w:t>
      </w:r>
      <w:r>
        <w:rPr>
          <w:rFonts w:ascii="仿宋" w:hAnsi="仿宋" w:eastAsia="仿宋" w:cs="宋体"/>
          <w:kern w:val="0"/>
          <w:sz w:val="22"/>
          <w:szCs w:val="22"/>
        </w:rPr>
        <w:t>经费</w:t>
      </w:r>
      <w:r>
        <w:rPr>
          <w:rFonts w:hint="eastAsia" w:ascii="仿宋" w:hAnsi="仿宋" w:eastAsia="仿宋" w:cs="宋体"/>
          <w:kern w:val="0"/>
          <w:sz w:val="22"/>
          <w:szCs w:val="22"/>
        </w:rPr>
        <w:t>支出决算表</w:t>
      </w:r>
    </w:p>
    <w:p>
      <w:pPr>
        <w:rPr>
          <w:rFonts w:ascii="仿宋" w:hAnsi="仿宋" w:eastAsia="仿宋" w:cs="Arial"/>
          <w:kern w:val="0"/>
          <w:sz w:val="22"/>
          <w:szCs w:val="22"/>
        </w:rPr>
      </w:pPr>
    </w:p>
    <w:tbl>
      <w:tblPr>
        <w:tblStyle w:val="5"/>
        <w:tblW w:w="5000" w:type="pct"/>
        <w:tblInd w:w="0" w:type="dxa"/>
        <w:tblLayout w:type="fixed"/>
        <w:tblCellMar>
          <w:top w:w="0" w:type="dxa"/>
          <w:left w:w="108" w:type="dxa"/>
          <w:bottom w:w="0" w:type="dxa"/>
          <w:right w:w="108" w:type="dxa"/>
        </w:tblCellMar>
      </w:tblPr>
      <w:tblGrid>
        <w:gridCol w:w="1101"/>
        <w:gridCol w:w="822"/>
        <w:gridCol w:w="595"/>
        <w:gridCol w:w="356"/>
        <w:gridCol w:w="211"/>
        <w:gridCol w:w="182"/>
        <w:gridCol w:w="242"/>
        <w:gridCol w:w="150"/>
        <w:gridCol w:w="985"/>
        <w:gridCol w:w="682"/>
        <w:gridCol w:w="312"/>
        <w:gridCol w:w="435"/>
        <w:gridCol w:w="392"/>
        <w:gridCol w:w="392"/>
        <w:gridCol w:w="392"/>
        <w:gridCol w:w="1273"/>
      </w:tblGrid>
      <w:tr>
        <w:tblPrEx>
          <w:tblCellMar>
            <w:top w:w="0" w:type="dxa"/>
            <w:left w:w="108" w:type="dxa"/>
            <w:bottom w:w="0" w:type="dxa"/>
            <w:right w:w="108" w:type="dxa"/>
          </w:tblCellMar>
        </w:tblPrEx>
        <w:trPr>
          <w:trHeight w:val="255" w:hRule="atLeast"/>
        </w:trPr>
        <w:tc>
          <w:tcPr>
            <w:tcW w:w="1686" w:type="pct"/>
            <w:gridSpan w:val="4"/>
            <w:tcBorders>
              <w:top w:val="nil"/>
              <w:left w:val="nil"/>
              <w:bottom w:val="nil"/>
              <w:right w:val="nil"/>
            </w:tcBorders>
            <w:shd w:val="clear" w:color="auto" w:fill="auto"/>
            <w:noWrap/>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部门：防城港市公共资源交易中心</w:t>
            </w:r>
          </w:p>
        </w:tc>
        <w:tc>
          <w:tcPr>
            <w:tcW w:w="231" w:type="pct"/>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2"/>
                <w:szCs w:val="22"/>
              </w:rPr>
            </w:pPr>
          </w:p>
        </w:tc>
        <w:tc>
          <w:tcPr>
            <w:tcW w:w="230" w:type="pct"/>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2"/>
                <w:szCs w:val="22"/>
              </w:rPr>
            </w:pPr>
          </w:p>
        </w:tc>
        <w:tc>
          <w:tcPr>
            <w:tcW w:w="578" w:type="pct"/>
            <w:tcBorders>
              <w:top w:val="nil"/>
              <w:left w:val="nil"/>
              <w:bottom w:val="nil"/>
              <w:right w:val="nil"/>
            </w:tcBorders>
            <w:shd w:val="clear" w:color="auto" w:fill="auto"/>
            <w:noWrap/>
            <w:vAlign w:val="bottom"/>
          </w:tcPr>
          <w:p>
            <w:pPr>
              <w:widowControl/>
              <w:jc w:val="left"/>
              <w:rPr>
                <w:rFonts w:ascii="Arial" w:hAnsi="Arial" w:cs="Arial"/>
                <w:color w:val="000000"/>
                <w:kern w:val="0"/>
                <w:sz w:val="22"/>
                <w:szCs w:val="22"/>
              </w:rPr>
            </w:pPr>
          </w:p>
        </w:tc>
        <w:tc>
          <w:tcPr>
            <w:tcW w:w="400" w:type="pct"/>
            <w:tcBorders>
              <w:top w:val="nil"/>
              <w:left w:val="nil"/>
              <w:bottom w:val="nil"/>
              <w:right w:val="nil"/>
            </w:tcBorders>
            <w:shd w:val="clear" w:color="auto" w:fill="auto"/>
            <w:noWrap/>
            <w:vAlign w:val="bottom"/>
          </w:tcPr>
          <w:p>
            <w:pPr>
              <w:widowControl/>
              <w:jc w:val="left"/>
              <w:rPr>
                <w:rFonts w:ascii="Arial" w:hAnsi="Arial" w:cs="Arial"/>
                <w:color w:val="000000"/>
                <w:kern w:val="0"/>
                <w:sz w:val="22"/>
                <w:szCs w:val="22"/>
              </w:rPr>
            </w:pPr>
          </w:p>
        </w:tc>
        <w:tc>
          <w:tcPr>
            <w:tcW w:w="438" w:type="pct"/>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2"/>
                <w:szCs w:val="22"/>
              </w:rPr>
            </w:pPr>
          </w:p>
        </w:tc>
        <w:tc>
          <w:tcPr>
            <w:tcW w:w="230" w:type="pct"/>
            <w:tcBorders>
              <w:top w:val="nil"/>
              <w:left w:val="nil"/>
              <w:bottom w:val="nil"/>
              <w:right w:val="nil"/>
            </w:tcBorders>
            <w:shd w:val="clear" w:color="auto" w:fill="auto"/>
            <w:noWrap/>
            <w:vAlign w:val="bottom"/>
          </w:tcPr>
          <w:p>
            <w:pPr>
              <w:widowControl/>
              <w:jc w:val="left"/>
              <w:rPr>
                <w:rFonts w:ascii="Arial" w:hAnsi="Arial" w:cs="Arial"/>
                <w:color w:val="000000"/>
                <w:kern w:val="0"/>
                <w:sz w:val="22"/>
                <w:szCs w:val="22"/>
              </w:rPr>
            </w:pPr>
          </w:p>
        </w:tc>
        <w:tc>
          <w:tcPr>
            <w:tcW w:w="230" w:type="pct"/>
            <w:tcBorders>
              <w:top w:val="nil"/>
              <w:left w:val="nil"/>
              <w:bottom w:val="nil"/>
              <w:right w:val="nil"/>
            </w:tcBorders>
            <w:shd w:val="clear" w:color="auto" w:fill="auto"/>
            <w:noWrap/>
            <w:vAlign w:val="bottom"/>
          </w:tcPr>
          <w:p>
            <w:pPr>
              <w:widowControl/>
              <w:jc w:val="left"/>
              <w:rPr>
                <w:rFonts w:ascii="Arial" w:hAnsi="Arial" w:cs="Arial"/>
                <w:color w:val="000000"/>
                <w:kern w:val="0"/>
                <w:sz w:val="22"/>
                <w:szCs w:val="22"/>
              </w:rPr>
            </w:pPr>
          </w:p>
        </w:tc>
        <w:tc>
          <w:tcPr>
            <w:tcW w:w="230" w:type="pct"/>
            <w:tcBorders>
              <w:top w:val="nil"/>
              <w:left w:val="nil"/>
              <w:bottom w:val="nil"/>
              <w:right w:val="nil"/>
            </w:tcBorders>
            <w:shd w:val="clear" w:color="auto" w:fill="auto"/>
            <w:noWrap/>
            <w:vAlign w:val="bottom"/>
          </w:tcPr>
          <w:p>
            <w:pPr>
              <w:widowControl/>
              <w:jc w:val="left"/>
              <w:rPr>
                <w:rFonts w:ascii="Arial" w:hAnsi="Arial" w:cs="Arial"/>
                <w:color w:val="000000"/>
                <w:kern w:val="0"/>
                <w:sz w:val="22"/>
                <w:szCs w:val="22"/>
              </w:rPr>
            </w:pPr>
          </w:p>
        </w:tc>
        <w:tc>
          <w:tcPr>
            <w:tcW w:w="747" w:type="pct"/>
            <w:tcBorders>
              <w:top w:val="nil"/>
              <w:left w:val="nil"/>
              <w:bottom w:val="nil"/>
              <w:right w:val="nil"/>
            </w:tcBorders>
            <w:shd w:val="clear" w:color="auto" w:fill="auto"/>
            <w:noWrap/>
            <w:vAlign w:val="bottom"/>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金额单位：元</w:t>
            </w:r>
          </w:p>
        </w:tc>
      </w:tr>
      <w:tr>
        <w:tblPrEx>
          <w:tblCellMar>
            <w:top w:w="0" w:type="dxa"/>
            <w:left w:w="108" w:type="dxa"/>
            <w:bottom w:w="0" w:type="dxa"/>
            <w:right w:w="108" w:type="dxa"/>
          </w:tblCellMar>
        </w:tblPrEx>
        <w:trPr>
          <w:trHeight w:val="308" w:hRule="atLeast"/>
        </w:trPr>
        <w:tc>
          <w:tcPr>
            <w:tcW w:w="2725" w:type="pct"/>
            <w:gridSpan w:val="9"/>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预算数</w:t>
            </w:r>
          </w:p>
        </w:tc>
        <w:tc>
          <w:tcPr>
            <w:tcW w:w="2275" w:type="pct"/>
            <w:gridSpan w:val="7"/>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r>
      <w:tr>
        <w:tblPrEx>
          <w:tblCellMar>
            <w:top w:w="0" w:type="dxa"/>
            <w:left w:w="108" w:type="dxa"/>
            <w:bottom w:w="0" w:type="dxa"/>
            <w:right w:w="108" w:type="dxa"/>
          </w:tblCellMar>
        </w:tblPrEx>
        <w:trPr>
          <w:trHeight w:val="308" w:hRule="atLeast"/>
        </w:trPr>
        <w:tc>
          <w:tcPr>
            <w:tcW w:w="646" w:type="pct"/>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482"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931" w:type="pct"/>
            <w:gridSpan w:val="5"/>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666" w:type="pct"/>
            <w:gridSpan w:val="2"/>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583" w:type="pct"/>
            <w:gridSpan w:val="2"/>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55"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690" w:type="pct"/>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747"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CellMar>
            <w:top w:w="0" w:type="dxa"/>
            <w:left w:w="108" w:type="dxa"/>
            <w:bottom w:w="0" w:type="dxa"/>
            <w:right w:w="108" w:type="dxa"/>
          </w:tblCellMar>
        </w:tblPrEx>
        <w:trPr>
          <w:trHeight w:val="615" w:hRule="atLeast"/>
        </w:trPr>
        <w:tc>
          <w:tcPr>
            <w:tcW w:w="646"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82"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49"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333" w:type="pct"/>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249" w:type="pct"/>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666" w:type="pct"/>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83" w:type="pct"/>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55"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0"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230"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230"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747"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646" w:type="pc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482"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349"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333" w:type="pct"/>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249" w:type="pct"/>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666" w:type="pct"/>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583" w:type="pct"/>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255"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230"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230"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230"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747" w:type="pc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CellMar>
            <w:top w:w="0" w:type="dxa"/>
            <w:left w:w="108" w:type="dxa"/>
            <w:bottom w:w="0" w:type="dxa"/>
            <w:right w:w="108" w:type="dxa"/>
          </w:tblCellMar>
        </w:tblPrEx>
        <w:trPr>
          <w:trHeight w:val="308" w:hRule="atLeast"/>
        </w:trPr>
        <w:tc>
          <w:tcPr>
            <w:tcW w:w="646" w:type="pct"/>
            <w:tcBorders>
              <w:top w:val="nil"/>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7,250.00</w:t>
            </w:r>
          </w:p>
        </w:tc>
        <w:tc>
          <w:tcPr>
            <w:tcW w:w="48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4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49"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66"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7,250.00</w:t>
            </w:r>
          </w:p>
        </w:tc>
        <w:tc>
          <w:tcPr>
            <w:tcW w:w="583"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859.00</w:t>
            </w:r>
          </w:p>
        </w:tc>
        <w:tc>
          <w:tcPr>
            <w:tcW w:w="255"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747"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859.00</w:t>
            </w:r>
          </w:p>
        </w:tc>
      </w:tr>
    </w:tbl>
    <w:p>
      <w:pPr>
        <w:rPr>
          <w:rFonts w:ascii="仿宋" w:hAnsi="仿宋" w:eastAsia="仿宋" w:cs="Arial"/>
          <w:kern w:val="0"/>
          <w:sz w:val="22"/>
          <w:szCs w:val="22"/>
        </w:rPr>
      </w:pPr>
      <w:r>
        <w:rPr>
          <w:rFonts w:hint="eastAsia" w:ascii="仿宋" w:hAnsi="仿宋" w:eastAsia="仿宋" w:cs="Arial"/>
          <w:color w:val="000000"/>
          <w:kern w:val="0"/>
          <w:sz w:val="22"/>
          <w:szCs w:val="22"/>
        </w:rPr>
        <w:t>注：</w:t>
      </w:r>
      <w:r>
        <w:rPr>
          <w:rFonts w:hint="eastAsia" w:ascii="仿宋" w:hAnsi="仿宋" w:eastAsia="仿宋"/>
          <w:sz w:val="22"/>
          <w:szCs w:val="22"/>
        </w:rPr>
        <w:t>本表依据部门决算F03表《一般公共预算财政拨款“三公”经费支出决算表》（公开07表）进行公开。</w:t>
      </w:r>
      <w:r>
        <w:rPr>
          <w:rFonts w:hint="eastAsia" w:ascii="仿宋" w:hAnsi="仿宋" w:eastAsia="仿宋" w:cs="Arial"/>
          <w:color w:val="000000"/>
          <w:kern w:val="0"/>
          <w:sz w:val="22"/>
          <w:szCs w:val="22"/>
        </w:rPr>
        <w:t>本表反映部门本年度“三公”经费支出预决算情况。其中，预算数为“三公”经费全年预算数，反映按规定程序调整后的预算数；决算数是包括当年一般公共预算财政拨款和以前年度结转资金安排的实际支出。</w:t>
      </w:r>
    </w:p>
    <w:p>
      <w:pPr>
        <w:jc w:val="center"/>
        <w:rPr>
          <w:rFonts w:ascii="仿宋" w:hAnsi="仿宋" w:eastAsia="仿宋" w:cs="宋体"/>
          <w:kern w:val="0"/>
          <w:sz w:val="22"/>
          <w:szCs w:val="22"/>
        </w:rPr>
      </w:pPr>
    </w:p>
    <w:p>
      <w:pPr>
        <w:jc w:val="center"/>
        <w:rPr>
          <w:rFonts w:ascii="仿宋" w:hAnsi="仿宋" w:eastAsia="仿宋" w:cs="宋体"/>
          <w:kern w:val="0"/>
          <w:sz w:val="22"/>
          <w:szCs w:val="22"/>
        </w:rPr>
      </w:pPr>
      <w:r>
        <w:rPr>
          <w:rFonts w:hint="eastAsia" w:ascii="仿宋" w:hAnsi="仿宋" w:eastAsia="仿宋" w:cs="宋体"/>
          <w:kern w:val="0"/>
          <w:sz w:val="22"/>
          <w:szCs w:val="22"/>
        </w:rPr>
        <w:t>表八：政府性基金预算财政拨款收入支出决算表</w:t>
      </w:r>
    </w:p>
    <w:tbl>
      <w:tblPr>
        <w:tblStyle w:val="5"/>
        <w:tblW w:w="5000" w:type="pct"/>
        <w:tblInd w:w="0" w:type="dxa"/>
        <w:tblLayout w:type="autofit"/>
        <w:tblCellMar>
          <w:top w:w="0" w:type="dxa"/>
          <w:left w:w="108" w:type="dxa"/>
          <w:bottom w:w="0" w:type="dxa"/>
          <w:right w:w="108" w:type="dxa"/>
        </w:tblCellMar>
      </w:tblPr>
      <w:tblGrid>
        <w:gridCol w:w="695"/>
        <w:gridCol w:w="2821"/>
        <w:gridCol w:w="694"/>
        <w:gridCol w:w="694"/>
        <w:gridCol w:w="694"/>
        <w:gridCol w:w="694"/>
        <w:gridCol w:w="694"/>
        <w:gridCol w:w="1536"/>
      </w:tblGrid>
      <w:tr>
        <w:tblPrEx>
          <w:tblCellMar>
            <w:top w:w="0" w:type="dxa"/>
            <w:left w:w="108" w:type="dxa"/>
            <w:bottom w:w="0" w:type="dxa"/>
            <w:right w:w="108" w:type="dxa"/>
          </w:tblCellMar>
        </w:tblPrEx>
        <w:trPr>
          <w:trHeight w:val="255" w:hRule="atLeast"/>
        </w:trPr>
        <w:tc>
          <w:tcPr>
            <w:tcW w:w="1874" w:type="pct"/>
            <w:gridSpan w:val="2"/>
            <w:tcBorders>
              <w:top w:val="nil"/>
              <w:left w:val="nil"/>
              <w:bottom w:val="nil"/>
              <w:right w:val="nil"/>
            </w:tcBorders>
            <w:shd w:val="clear" w:color="auto" w:fill="auto"/>
            <w:noWrap/>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部门：防城港市公共资源交易中心</w:t>
            </w:r>
          </w:p>
        </w:tc>
        <w:tc>
          <w:tcPr>
            <w:tcW w:w="459" w:type="pct"/>
            <w:tcBorders>
              <w:top w:val="nil"/>
              <w:left w:val="nil"/>
              <w:bottom w:val="nil"/>
              <w:right w:val="nil"/>
            </w:tcBorders>
            <w:shd w:val="clear" w:color="auto" w:fill="auto"/>
            <w:noWrap/>
            <w:vAlign w:val="bottom"/>
          </w:tcPr>
          <w:p>
            <w:pPr>
              <w:widowControl/>
              <w:jc w:val="left"/>
              <w:rPr>
                <w:rFonts w:ascii="Arial" w:hAnsi="Arial" w:cs="Arial"/>
                <w:color w:val="000000"/>
                <w:kern w:val="0"/>
                <w:sz w:val="22"/>
                <w:szCs w:val="22"/>
              </w:rPr>
            </w:pPr>
          </w:p>
        </w:tc>
        <w:tc>
          <w:tcPr>
            <w:tcW w:w="459" w:type="pct"/>
            <w:tcBorders>
              <w:top w:val="nil"/>
              <w:left w:val="nil"/>
              <w:bottom w:val="nil"/>
              <w:right w:val="nil"/>
            </w:tcBorders>
            <w:shd w:val="clear" w:color="auto" w:fill="auto"/>
            <w:noWrap/>
            <w:vAlign w:val="bottom"/>
          </w:tcPr>
          <w:p>
            <w:pPr>
              <w:widowControl/>
              <w:jc w:val="left"/>
              <w:rPr>
                <w:rFonts w:ascii="Arial" w:hAnsi="Arial" w:cs="Arial"/>
                <w:color w:val="000000"/>
                <w:kern w:val="0"/>
                <w:sz w:val="22"/>
                <w:szCs w:val="22"/>
              </w:rPr>
            </w:pPr>
          </w:p>
        </w:tc>
        <w:tc>
          <w:tcPr>
            <w:tcW w:w="459" w:type="pct"/>
            <w:tcBorders>
              <w:top w:val="nil"/>
              <w:left w:val="nil"/>
              <w:bottom w:val="nil"/>
              <w:right w:val="nil"/>
            </w:tcBorders>
            <w:shd w:val="clear" w:color="auto" w:fill="auto"/>
            <w:noWrap/>
            <w:vAlign w:val="bottom"/>
          </w:tcPr>
          <w:p>
            <w:pPr>
              <w:widowControl/>
              <w:jc w:val="left"/>
              <w:rPr>
                <w:rFonts w:ascii="Arial" w:hAnsi="Arial" w:cs="Arial"/>
                <w:color w:val="000000"/>
                <w:kern w:val="0"/>
                <w:sz w:val="22"/>
                <w:szCs w:val="22"/>
              </w:rPr>
            </w:pPr>
          </w:p>
        </w:tc>
        <w:tc>
          <w:tcPr>
            <w:tcW w:w="459" w:type="pct"/>
            <w:tcBorders>
              <w:top w:val="nil"/>
              <w:left w:val="nil"/>
              <w:bottom w:val="nil"/>
              <w:right w:val="nil"/>
            </w:tcBorders>
            <w:shd w:val="clear" w:color="auto" w:fill="auto"/>
            <w:noWrap/>
            <w:vAlign w:val="bottom"/>
          </w:tcPr>
          <w:p>
            <w:pPr>
              <w:widowControl/>
              <w:jc w:val="left"/>
              <w:rPr>
                <w:rFonts w:ascii="Arial" w:hAnsi="Arial" w:cs="Arial"/>
                <w:color w:val="000000"/>
                <w:kern w:val="0"/>
                <w:sz w:val="22"/>
                <w:szCs w:val="22"/>
              </w:rPr>
            </w:pPr>
          </w:p>
        </w:tc>
        <w:tc>
          <w:tcPr>
            <w:tcW w:w="459" w:type="pct"/>
            <w:tcBorders>
              <w:top w:val="nil"/>
              <w:left w:val="nil"/>
              <w:bottom w:val="nil"/>
              <w:right w:val="nil"/>
            </w:tcBorders>
            <w:shd w:val="clear" w:color="auto" w:fill="auto"/>
            <w:noWrap/>
            <w:vAlign w:val="bottom"/>
          </w:tcPr>
          <w:p>
            <w:pPr>
              <w:widowControl/>
              <w:jc w:val="left"/>
              <w:rPr>
                <w:rFonts w:ascii="Arial" w:hAnsi="Arial" w:cs="Arial"/>
                <w:color w:val="000000"/>
                <w:kern w:val="0"/>
                <w:sz w:val="22"/>
                <w:szCs w:val="22"/>
              </w:rPr>
            </w:pPr>
          </w:p>
        </w:tc>
        <w:tc>
          <w:tcPr>
            <w:tcW w:w="831" w:type="pct"/>
            <w:tcBorders>
              <w:top w:val="nil"/>
              <w:left w:val="nil"/>
              <w:bottom w:val="nil"/>
              <w:right w:val="nil"/>
            </w:tcBorders>
            <w:shd w:val="clear" w:color="auto" w:fill="auto"/>
            <w:noWrap/>
            <w:vAlign w:val="bottom"/>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金额单位：元</w:t>
            </w:r>
          </w:p>
        </w:tc>
      </w:tr>
      <w:tr>
        <w:tblPrEx>
          <w:tblCellMar>
            <w:top w:w="0" w:type="dxa"/>
            <w:left w:w="108" w:type="dxa"/>
            <w:bottom w:w="0" w:type="dxa"/>
            <w:right w:w="108" w:type="dxa"/>
          </w:tblCellMar>
        </w:tblPrEx>
        <w:trPr>
          <w:trHeight w:val="308" w:hRule="atLeast"/>
        </w:trPr>
        <w:tc>
          <w:tcPr>
            <w:tcW w:w="1874" w:type="pct"/>
            <w:gridSpan w:val="2"/>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459" w:type="pct"/>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459" w:type="pct"/>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1377" w:type="pct"/>
            <w:gridSpan w:val="3"/>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831" w:type="pct"/>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CellMar>
            <w:top w:w="0" w:type="dxa"/>
            <w:left w:w="108" w:type="dxa"/>
            <w:bottom w:w="0" w:type="dxa"/>
            <w:right w:w="108" w:type="dxa"/>
          </w:tblCellMar>
        </w:tblPrEx>
        <w:trPr>
          <w:trHeight w:val="624" w:hRule="atLeast"/>
        </w:trPr>
        <w:tc>
          <w:tcPr>
            <w:tcW w:w="370" w:type="pct"/>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04" w:type="pct"/>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459"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59"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59"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459"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459" w:type="pct"/>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831"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624" w:hRule="atLeast"/>
        </w:trPr>
        <w:tc>
          <w:tcPr>
            <w:tcW w:w="370"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4"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59"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59"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59"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59"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59"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831"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624" w:hRule="atLeast"/>
        </w:trPr>
        <w:tc>
          <w:tcPr>
            <w:tcW w:w="370"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4"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59"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59"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59"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59"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59"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831"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874" w:type="pct"/>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45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45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45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45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459"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831" w:type="pc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308" w:hRule="atLeast"/>
        </w:trPr>
        <w:tc>
          <w:tcPr>
            <w:tcW w:w="1874" w:type="pct"/>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45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45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45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45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45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83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r>
      <w:tr>
        <w:tblPrEx>
          <w:tblCellMar>
            <w:top w:w="0" w:type="dxa"/>
            <w:left w:w="108" w:type="dxa"/>
            <w:bottom w:w="0" w:type="dxa"/>
            <w:right w:w="108" w:type="dxa"/>
          </w:tblCellMar>
        </w:tblPrEx>
        <w:trPr>
          <w:trHeight w:val="308" w:hRule="atLeast"/>
        </w:trPr>
        <w:tc>
          <w:tcPr>
            <w:tcW w:w="370"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04"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5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5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5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5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5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3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370"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04"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5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5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5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5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5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3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370"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04"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5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5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5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5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5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3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370"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04"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5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5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5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5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5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3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370"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04"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5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5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5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5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5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3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370"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04"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5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5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5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5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5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3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bl>
    <w:p>
      <w:pPr>
        <w:rPr>
          <w:rFonts w:ascii="仿宋" w:hAnsi="仿宋" w:eastAsia="仿宋" w:cs="Arial"/>
          <w:color w:val="000000"/>
          <w:kern w:val="0"/>
          <w:sz w:val="22"/>
          <w:szCs w:val="22"/>
        </w:rPr>
      </w:pPr>
      <w:r>
        <w:rPr>
          <w:rFonts w:hint="eastAsia" w:ascii="仿宋" w:hAnsi="仿宋" w:eastAsia="仿宋" w:cs="Arial"/>
          <w:color w:val="000000"/>
          <w:kern w:val="0"/>
          <w:sz w:val="22"/>
          <w:szCs w:val="22"/>
        </w:rPr>
        <w:t>注：</w:t>
      </w:r>
      <w:r>
        <w:rPr>
          <w:rFonts w:hint="eastAsia" w:ascii="仿宋" w:hAnsi="仿宋" w:eastAsia="仿宋" w:cs="宋体"/>
          <w:kern w:val="0"/>
          <w:sz w:val="22"/>
          <w:szCs w:val="22"/>
        </w:rPr>
        <w:t>本表依据《政府性基金预算财政拨款收入支出决算批复表》（公开08表）进行公开。</w:t>
      </w:r>
      <w:r>
        <w:rPr>
          <w:rFonts w:hint="eastAsia" w:ascii="仿宋" w:hAnsi="仿宋" w:eastAsia="仿宋" w:cs="Arial"/>
          <w:color w:val="000000"/>
          <w:kern w:val="0"/>
          <w:sz w:val="22"/>
          <w:szCs w:val="22"/>
        </w:rPr>
        <w:t>本表反映部门本年度政府性基金预算财政拨款收入、支出及结转和结余情况。</w:t>
      </w:r>
    </w:p>
    <w:p>
      <w:pPr>
        <w:ind w:firstLine="440" w:firstLineChars="200"/>
        <w:rPr>
          <w:rFonts w:ascii="仿宋" w:hAnsi="仿宋" w:eastAsia="仿宋" w:cs="Arial"/>
          <w:color w:val="000000"/>
          <w:kern w:val="0"/>
          <w:sz w:val="22"/>
          <w:szCs w:val="22"/>
        </w:rPr>
      </w:pPr>
      <w:r>
        <w:rPr>
          <w:rFonts w:hint="eastAsia" w:ascii="仿宋" w:hAnsi="仿宋" w:eastAsia="仿宋"/>
          <w:sz w:val="22"/>
          <w:szCs w:val="22"/>
        </w:rPr>
        <w:t>说明：防城港市公共资源交易中心没有政府性基金预算收入，也没有政府性基金预算安排的支出，故本表无数据”。</w:t>
      </w:r>
    </w:p>
    <w:p>
      <w:pPr>
        <w:rPr>
          <w:rFonts w:ascii="仿宋" w:hAnsi="仿宋" w:eastAsia="仿宋" w:cs="Arial"/>
          <w:color w:val="000000"/>
          <w:kern w:val="0"/>
          <w:sz w:val="22"/>
          <w:szCs w:val="22"/>
        </w:rPr>
      </w:pPr>
    </w:p>
    <w:p>
      <w:pPr>
        <w:widowControl/>
        <w:ind w:firstLine="880" w:firstLineChars="400"/>
        <w:rPr>
          <w:rFonts w:ascii="仿宋" w:hAnsi="仿宋" w:eastAsia="仿宋" w:cs="Arial"/>
          <w:color w:val="000000"/>
          <w:kern w:val="0"/>
          <w:sz w:val="22"/>
          <w:szCs w:val="22"/>
        </w:rPr>
      </w:pPr>
      <w:r>
        <w:rPr>
          <w:rFonts w:hint="eastAsia" w:ascii="仿宋" w:hAnsi="仿宋" w:eastAsia="仿宋" w:cs="宋体"/>
          <w:kern w:val="0"/>
          <w:sz w:val="22"/>
          <w:szCs w:val="22"/>
        </w:rPr>
        <w:t>表九：</w:t>
      </w:r>
      <w:r>
        <w:rPr>
          <w:rFonts w:hint="eastAsia" w:ascii="仿宋" w:hAnsi="仿宋" w:eastAsia="仿宋" w:cs="Arial"/>
          <w:color w:val="000000"/>
          <w:kern w:val="0"/>
          <w:sz w:val="22"/>
          <w:szCs w:val="22"/>
        </w:rPr>
        <w:t>国有资本经营预算财政拨款支出决算表</w:t>
      </w:r>
    </w:p>
    <w:tbl>
      <w:tblPr>
        <w:tblStyle w:val="5"/>
        <w:tblW w:w="9033" w:type="dxa"/>
        <w:tblInd w:w="0" w:type="dxa"/>
        <w:tblLayout w:type="autofit"/>
        <w:tblCellMar>
          <w:top w:w="0" w:type="dxa"/>
          <w:left w:w="108" w:type="dxa"/>
          <w:bottom w:w="0" w:type="dxa"/>
          <w:right w:w="108" w:type="dxa"/>
        </w:tblCellMar>
      </w:tblPr>
      <w:tblGrid>
        <w:gridCol w:w="1017"/>
        <w:gridCol w:w="1016"/>
        <w:gridCol w:w="3617"/>
        <w:gridCol w:w="675"/>
        <w:gridCol w:w="1128"/>
        <w:gridCol w:w="1580"/>
      </w:tblGrid>
      <w:tr>
        <w:tblPrEx>
          <w:tblCellMar>
            <w:top w:w="0" w:type="dxa"/>
            <w:left w:w="108" w:type="dxa"/>
            <w:bottom w:w="0" w:type="dxa"/>
            <w:right w:w="108" w:type="dxa"/>
          </w:tblCellMar>
        </w:tblPrEx>
        <w:trPr>
          <w:trHeight w:val="228" w:hRule="atLeast"/>
        </w:trPr>
        <w:tc>
          <w:tcPr>
            <w:tcW w:w="0" w:type="auto"/>
            <w:gridSpan w:val="3"/>
            <w:tcBorders>
              <w:top w:val="nil"/>
              <w:left w:val="nil"/>
              <w:bottom w:val="nil"/>
              <w:right w:val="nil"/>
            </w:tcBorders>
            <w:shd w:val="clear" w:color="auto" w:fill="auto"/>
            <w:noWrap/>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部门：防城港市公共资源交易中心</w:t>
            </w:r>
          </w:p>
        </w:tc>
        <w:tc>
          <w:tcPr>
            <w:tcW w:w="0" w:type="auto"/>
            <w:tcBorders>
              <w:top w:val="nil"/>
              <w:left w:val="nil"/>
              <w:bottom w:val="nil"/>
              <w:right w:val="nil"/>
            </w:tcBorders>
            <w:shd w:val="clear" w:color="auto" w:fill="auto"/>
            <w:noWrap/>
            <w:vAlign w:val="bottom"/>
          </w:tcPr>
          <w:p>
            <w:pPr>
              <w:widowControl/>
              <w:jc w:val="left"/>
              <w:rPr>
                <w:rFonts w:ascii="Arial" w:hAnsi="Arial" w:cs="Arial"/>
                <w:color w:val="000000"/>
                <w:kern w:val="0"/>
                <w:sz w:val="22"/>
                <w:szCs w:val="22"/>
              </w:rPr>
            </w:pPr>
          </w:p>
        </w:tc>
        <w:tc>
          <w:tcPr>
            <w:tcW w:w="0" w:type="auto"/>
            <w:tcBorders>
              <w:top w:val="nil"/>
              <w:left w:val="nil"/>
              <w:bottom w:val="nil"/>
              <w:right w:val="nil"/>
            </w:tcBorders>
            <w:shd w:val="clear" w:color="auto" w:fill="auto"/>
            <w:noWrap/>
            <w:vAlign w:val="bottom"/>
          </w:tcPr>
          <w:p>
            <w:pPr>
              <w:widowControl/>
              <w:jc w:val="left"/>
              <w:rPr>
                <w:rFonts w:ascii="Arial" w:hAnsi="Arial" w:cs="Arial"/>
                <w:color w:val="000000"/>
                <w:kern w:val="0"/>
                <w:sz w:val="22"/>
                <w:szCs w:val="22"/>
              </w:rPr>
            </w:pPr>
          </w:p>
        </w:tc>
        <w:tc>
          <w:tcPr>
            <w:tcW w:w="0" w:type="auto"/>
            <w:tcBorders>
              <w:top w:val="nil"/>
              <w:left w:val="nil"/>
              <w:bottom w:val="nil"/>
              <w:right w:val="nil"/>
            </w:tcBorders>
            <w:shd w:val="clear" w:color="auto" w:fill="auto"/>
            <w:noWrap/>
            <w:vAlign w:val="bottom"/>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金额单位：元</w:t>
            </w:r>
          </w:p>
        </w:tc>
      </w:tr>
      <w:tr>
        <w:tblPrEx>
          <w:tblCellMar>
            <w:top w:w="0" w:type="dxa"/>
            <w:left w:w="108" w:type="dxa"/>
            <w:bottom w:w="0" w:type="dxa"/>
            <w:right w:w="108" w:type="dxa"/>
          </w:tblCellMar>
        </w:tblPrEx>
        <w:trPr>
          <w:trHeight w:val="276"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0" w:type="auto"/>
            <w:gridSpan w:val="3"/>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r>
      <w:tr>
        <w:tblPrEx>
          <w:tblCellMar>
            <w:top w:w="0" w:type="dxa"/>
            <w:left w:w="108" w:type="dxa"/>
            <w:bottom w:w="0" w:type="dxa"/>
            <w:right w:w="108" w:type="dxa"/>
          </w:tblCellMar>
        </w:tblPrEx>
        <w:trPr>
          <w:trHeight w:val="558" w:hRule="atLeast"/>
        </w:trPr>
        <w:tc>
          <w:tcPr>
            <w:tcW w:w="0" w:type="auto"/>
            <w:gridSpan w:val="2"/>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0" w:type="auto"/>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0" w:type="auto"/>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0" w:type="auto"/>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558" w:hRule="atLeast"/>
        </w:trPr>
        <w:tc>
          <w:tcPr>
            <w:tcW w:w="0" w:type="auto"/>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558" w:hRule="atLeast"/>
        </w:trPr>
        <w:tc>
          <w:tcPr>
            <w:tcW w:w="0" w:type="auto"/>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276" w:hRule="atLeast"/>
        </w:trPr>
        <w:tc>
          <w:tcPr>
            <w:tcW w:w="0" w:type="auto"/>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0" w:type="auto"/>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276" w:hRule="atLeast"/>
        </w:trPr>
        <w:tc>
          <w:tcPr>
            <w:tcW w:w="0" w:type="auto"/>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r>
      <w:tr>
        <w:tblPrEx>
          <w:tblCellMar>
            <w:top w:w="0" w:type="dxa"/>
            <w:left w:w="108" w:type="dxa"/>
            <w:bottom w:w="0" w:type="dxa"/>
            <w:right w:w="108" w:type="dxa"/>
          </w:tblCellMar>
        </w:tblPrEx>
        <w:trPr>
          <w:trHeight w:val="276" w:hRule="atLeast"/>
        </w:trPr>
        <w:tc>
          <w:tcPr>
            <w:tcW w:w="0" w:type="auto"/>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76" w:hRule="atLeast"/>
        </w:trPr>
        <w:tc>
          <w:tcPr>
            <w:tcW w:w="0" w:type="auto"/>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76" w:hRule="atLeast"/>
        </w:trPr>
        <w:tc>
          <w:tcPr>
            <w:tcW w:w="0" w:type="auto"/>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76" w:hRule="atLeast"/>
        </w:trPr>
        <w:tc>
          <w:tcPr>
            <w:tcW w:w="0" w:type="auto"/>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76" w:hRule="atLeast"/>
        </w:trPr>
        <w:tc>
          <w:tcPr>
            <w:tcW w:w="0" w:type="auto"/>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76" w:hRule="atLeast"/>
        </w:trPr>
        <w:tc>
          <w:tcPr>
            <w:tcW w:w="0" w:type="auto"/>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Before w:val="1"/>
          <w:wBefore w:w="1017" w:type="dxa"/>
          <w:trHeight w:val="276" w:hRule="atLeast"/>
        </w:trPr>
        <w:tc>
          <w:tcPr>
            <w:tcW w:w="0" w:type="auto"/>
            <w:gridSpan w:val="5"/>
            <w:tcBorders>
              <w:top w:val="nil"/>
              <w:left w:val="nil"/>
              <w:bottom w:val="nil"/>
              <w:right w:val="nil"/>
            </w:tcBorders>
            <w:noWrap/>
            <w:vAlign w:val="center"/>
          </w:tcPr>
          <w:p>
            <w:pPr>
              <w:widowControl/>
              <w:jc w:val="left"/>
              <w:rPr>
                <w:rFonts w:ascii="仿宋" w:hAnsi="仿宋" w:eastAsia="仿宋" w:cs="Arial"/>
                <w:color w:val="000000"/>
                <w:kern w:val="0"/>
                <w:sz w:val="22"/>
                <w:szCs w:val="22"/>
              </w:rPr>
            </w:pPr>
          </w:p>
        </w:tc>
      </w:tr>
    </w:tbl>
    <w:p>
      <w:pPr>
        <w:ind w:firstLine="660" w:firstLineChars="300"/>
        <w:jc w:val="left"/>
        <w:rPr>
          <w:rFonts w:ascii="仿宋" w:hAnsi="仿宋" w:eastAsia="仿宋"/>
          <w:sz w:val="22"/>
          <w:szCs w:val="22"/>
        </w:rPr>
      </w:pPr>
      <w:r>
        <w:rPr>
          <w:rFonts w:hint="eastAsia" w:ascii="仿宋" w:hAnsi="仿宋" w:eastAsia="仿宋" w:cs="Arial"/>
          <w:color w:val="000000"/>
          <w:kern w:val="0"/>
          <w:sz w:val="22"/>
          <w:szCs w:val="22"/>
        </w:rPr>
        <w:t>注：</w:t>
      </w:r>
      <w:r>
        <w:rPr>
          <w:rFonts w:hint="eastAsia" w:ascii="仿宋" w:hAnsi="仿宋" w:eastAsia="仿宋" w:cs="宋体"/>
          <w:kern w:val="0"/>
          <w:sz w:val="22"/>
          <w:szCs w:val="22"/>
        </w:rPr>
        <w:t>本表依据《国有资本经营预算财政拨款支出决算批复表》（公开09表）进行公开。</w:t>
      </w:r>
      <w:r>
        <w:rPr>
          <w:rFonts w:hint="eastAsia" w:ascii="仿宋" w:hAnsi="仿宋" w:eastAsia="仿宋" w:cs="Arial"/>
          <w:color w:val="000000"/>
          <w:kern w:val="0"/>
          <w:sz w:val="22"/>
          <w:szCs w:val="22"/>
        </w:rPr>
        <w:t>本表反映部门本年度国有资本经营预算财政拨款支出情况。</w:t>
      </w:r>
    </w:p>
    <w:p>
      <w:pPr>
        <w:ind w:firstLine="560" w:firstLineChars="200"/>
        <w:jc w:val="left"/>
        <w:rPr>
          <w:rFonts w:ascii="仿宋" w:hAnsi="仿宋" w:eastAsia="仿宋"/>
          <w:sz w:val="28"/>
          <w:szCs w:val="28"/>
        </w:rPr>
      </w:pPr>
    </w:p>
    <w:p>
      <w:pPr>
        <w:ind w:firstLine="560" w:firstLineChars="200"/>
        <w:jc w:val="left"/>
        <w:rPr>
          <w:rFonts w:ascii="仿宋" w:hAnsi="仿宋" w:eastAsia="仿宋"/>
          <w:sz w:val="28"/>
          <w:szCs w:val="28"/>
        </w:rPr>
      </w:pPr>
      <w:r>
        <w:rPr>
          <w:rFonts w:hint="eastAsia" w:ascii="仿宋" w:hAnsi="仿宋" w:eastAsia="仿宋"/>
          <w:sz w:val="28"/>
          <w:szCs w:val="28"/>
        </w:rPr>
        <w:t>说明：防城港市公共资源交易中心没有国有资本经营预算财政拨款收入，也没有国有资本经营预算财政拨款安排的支出，故本表无数据”。</w:t>
      </w:r>
    </w:p>
    <w:p>
      <w:pPr>
        <w:rPr>
          <w:rFonts w:ascii="仿宋" w:hAnsi="仿宋" w:eastAsia="仿宋" w:cs="Arial"/>
          <w:color w:val="000000"/>
          <w:kern w:val="0"/>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spacing w:line="560" w:lineRule="exact"/>
        <w:jc w:val="center"/>
        <w:rPr>
          <w:rFonts w:ascii="仿宋" w:hAnsi="仿宋" w:eastAsia="仿宋"/>
          <w:b/>
          <w:sz w:val="28"/>
          <w:szCs w:val="28"/>
        </w:rPr>
      </w:pPr>
      <w:r>
        <w:rPr>
          <w:rFonts w:hint="eastAsia" w:ascii="仿宋" w:hAnsi="仿宋" w:eastAsia="仿宋"/>
          <w:b/>
          <w:sz w:val="28"/>
          <w:szCs w:val="28"/>
        </w:rPr>
        <w:t>第三部分：</w:t>
      </w:r>
      <w:r>
        <w:rPr>
          <w:rFonts w:hint="eastAsia" w:ascii="仿宋" w:hAnsi="仿宋" w:eastAsia="仿宋"/>
          <w:b/>
          <w:bCs/>
          <w:sz w:val="28"/>
          <w:szCs w:val="28"/>
        </w:rPr>
        <w:t>防城港市公共资源交易中心</w:t>
      </w:r>
      <w:r>
        <w:rPr>
          <w:rFonts w:hint="eastAsia" w:ascii="仿宋" w:hAnsi="仿宋" w:eastAsia="仿宋"/>
          <w:b/>
          <w:sz w:val="28"/>
          <w:szCs w:val="28"/>
        </w:rPr>
        <w:t>2021年度部门决算情况说明</w:t>
      </w:r>
    </w:p>
    <w:p>
      <w:pPr>
        <w:autoSpaceDE w:val="0"/>
        <w:autoSpaceDN w:val="0"/>
        <w:adjustRightInd w:val="0"/>
        <w:spacing w:line="560" w:lineRule="exact"/>
        <w:ind w:firstLine="562" w:firstLineChars="200"/>
        <w:jc w:val="left"/>
        <w:rPr>
          <w:rFonts w:ascii="仿宋" w:hAnsi="仿宋" w:eastAsia="仿宋" w:cs="仿宋_GB2312"/>
          <w:b/>
          <w:kern w:val="0"/>
          <w:sz w:val="28"/>
          <w:szCs w:val="28"/>
        </w:rPr>
      </w:pPr>
      <w:r>
        <w:rPr>
          <w:rFonts w:hint="eastAsia" w:ascii="仿宋" w:hAnsi="仿宋" w:eastAsia="仿宋" w:cs="仿宋_GB2312"/>
          <w:b/>
          <w:kern w:val="0"/>
          <w:sz w:val="28"/>
          <w:szCs w:val="28"/>
        </w:rPr>
        <w:t>一、</w:t>
      </w:r>
      <w:r>
        <w:rPr>
          <w:rFonts w:hint="eastAsia" w:ascii="仿宋" w:hAnsi="仿宋" w:eastAsia="仿宋"/>
          <w:b/>
          <w:kern w:val="0"/>
          <w:sz w:val="28"/>
          <w:szCs w:val="28"/>
        </w:rPr>
        <w:t>2021</w:t>
      </w:r>
      <w:r>
        <w:rPr>
          <w:rFonts w:hint="eastAsia" w:ascii="仿宋" w:hAnsi="仿宋" w:eastAsia="仿宋" w:cs="仿宋_GB2312"/>
          <w:b/>
          <w:kern w:val="0"/>
          <w:sz w:val="28"/>
          <w:szCs w:val="28"/>
        </w:rPr>
        <w:t>年度收入支出决算总体情况。</w:t>
      </w:r>
    </w:p>
    <w:p>
      <w:pPr>
        <w:autoSpaceDE w:val="0"/>
        <w:autoSpaceDN w:val="0"/>
        <w:adjustRightInd w:val="0"/>
        <w:spacing w:line="560" w:lineRule="exact"/>
        <w:ind w:firstLine="548" w:firstLineChars="196"/>
        <w:jc w:val="left"/>
        <w:rPr>
          <w:rFonts w:ascii="仿宋" w:hAnsi="仿宋" w:eastAsia="仿宋" w:cs="仿宋_GB2312"/>
          <w:kern w:val="0"/>
          <w:sz w:val="28"/>
          <w:szCs w:val="28"/>
        </w:rPr>
      </w:pPr>
      <w:r>
        <w:rPr>
          <w:rFonts w:hint="eastAsia" w:ascii="仿宋" w:hAnsi="仿宋" w:eastAsia="仿宋" w:cs="仿宋_GB2312"/>
          <w:kern w:val="0"/>
          <w:sz w:val="28"/>
          <w:szCs w:val="28"/>
        </w:rPr>
        <w:t>（一）本部门2021年度总收入</w:t>
      </w:r>
      <w:r>
        <w:rPr>
          <w:rFonts w:hint="eastAsia" w:ascii="仿宋" w:hAnsi="仿宋" w:eastAsia="仿宋"/>
          <w:kern w:val="0"/>
          <w:sz w:val="28"/>
          <w:szCs w:val="28"/>
        </w:rPr>
        <w:t>375.04</w:t>
      </w:r>
      <w:r>
        <w:rPr>
          <w:rFonts w:hint="eastAsia" w:ascii="仿宋" w:hAnsi="仿宋" w:eastAsia="仿宋" w:cs="仿宋_GB2312"/>
          <w:kern w:val="0"/>
          <w:sz w:val="28"/>
          <w:szCs w:val="28"/>
        </w:rPr>
        <w:t>万元，其中本年收入370.63万元，较2020年度决算数减少了46.62万元，下降了11.17 %。收入具体情况如下：</w:t>
      </w:r>
    </w:p>
    <w:p>
      <w:pPr>
        <w:ind w:firstLine="709"/>
        <w:rPr>
          <w:rFonts w:ascii="仿宋" w:hAnsi="仿宋" w:eastAsia="仿宋" w:cs="仿宋"/>
          <w:sz w:val="28"/>
          <w:szCs w:val="28"/>
        </w:rPr>
      </w:pPr>
      <w:r>
        <w:rPr>
          <w:rFonts w:hint="eastAsia" w:ascii="仿宋" w:hAnsi="仿宋" w:eastAsia="仿宋" w:cs="仿宋_GB2312"/>
          <w:kern w:val="0"/>
          <w:sz w:val="28"/>
          <w:szCs w:val="28"/>
        </w:rPr>
        <w:t>1.</w:t>
      </w:r>
      <w:r>
        <w:rPr>
          <w:rFonts w:hint="eastAsia" w:ascii="仿宋_GB2312" w:eastAsia="仿宋_GB2312" w:cs="仿宋_GB2312"/>
          <w:kern w:val="0"/>
          <w:sz w:val="28"/>
          <w:szCs w:val="28"/>
        </w:rPr>
        <w:t xml:space="preserve"> 一般公共预算财政拨款收入370.63万元</w:t>
      </w:r>
      <w:r>
        <w:rPr>
          <w:rFonts w:hint="eastAsia" w:ascii="仿宋" w:hAnsi="仿宋" w:eastAsia="仿宋" w:cs="仿宋_GB2312"/>
          <w:kern w:val="0"/>
          <w:sz w:val="28"/>
          <w:szCs w:val="28"/>
        </w:rPr>
        <w:t>，全部为市本级当年财政拨款收入。较2020年度决算数减少了46.62万元，下降了11.17 %。主要原因是：由于单位职能转变，</w:t>
      </w:r>
      <w:r>
        <w:rPr>
          <w:rFonts w:hint="eastAsia" w:ascii="仿宋" w:hAnsi="仿宋" w:eastAsia="仿宋"/>
          <w:sz w:val="28"/>
          <w:szCs w:val="28"/>
        </w:rPr>
        <w:t>国有土地使用权和矿业权、海域使用权招拍挂的出让公告，变更公告、出让结果公示等发布公告业务从3月起分别移交给市国土资源局和市海洋局进行公告发布业务，相应的减少了公告</w:t>
      </w:r>
      <w:r>
        <w:rPr>
          <w:rFonts w:hint="eastAsia" w:ascii="仿宋" w:hAnsi="仿宋" w:eastAsia="仿宋" w:cs="仿宋"/>
          <w:sz w:val="28"/>
          <w:szCs w:val="28"/>
        </w:rPr>
        <w:t>费用的开支。</w:t>
      </w:r>
    </w:p>
    <w:p>
      <w:pPr>
        <w:autoSpaceDE w:val="0"/>
        <w:autoSpaceDN w:val="0"/>
        <w:adjustRightInd w:val="0"/>
        <w:spacing w:line="560" w:lineRule="exact"/>
        <w:ind w:firstLine="548" w:firstLineChars="196"/>
        <w:jc w:val="left"/>
        <w:rPr>
          <w:rFonts w:ascii="仿宋_GB2312" w:eastAsia="仿宋_GB2312" w:cs="仿宋_GB2312"/>
          <w:kern w:val="0"/>
          <w:sz w:val="28"/>
          <w:szCs w:val="28"/>
        </w:rPr>
      </w:pPr>
      <w:r>
        <w:rPr>
          <w:rFonts w:hint="eastAsia" w:ascii="仿宋_GB2312" w:eastAsia="仿宋_GB2312" w:cs="仿宋_GB2312"/>
          <w:kern w:val="0"/>
          <w:sz w:val="28"/>
          <w:szCs w:val="28"/>
        </w:rPr>
        <w:t>2.政府性基金预算财政拨款收入</w:t>
      </w:r>
      <w:r>
        <w:rPr>
          <w:rFonts w:hint="eastAsia" w:ascii="仿宋_GB2312" w:eastAsia="仿宋_GB2312"/>
          <w:kern w:val="0"/>
          <w:sz w:val="28"/>
          <w:szCs w:val="28"/>
        </w:rPr>
        <w:t xml:space="preserve"> 0 </w:t>
      </w:r>
      <w:r>
        <w:rPr>
          <w:rFonts w:hint="eastAsia" w:ascii="仿宋_GB2312" w:eastAsia="仿宋_GB2312" w:cs="仿宋_GB2312"/>
          <w:kern w:val="0"/>
          <w:sz w:val="28"/>
          <w:szCs w:val="28"/>
        </w:rPr>
        <w:t>万元。</w:t>
      </w:r>
      <w:r>
        <w:rPr>
          <w:rFonts w:hint="eastAsia" w:ascii="仿宋_GB2312" w:hAnsi="黑体" w:eastAsia="仿宋_GB2312" w:cs="仿宋_GB2312"/>
          <w:kern w:val="0"/>
          <w:sz w:val="28"/>
          <w:szCs w:val="28"/>
        </w:rPr>
        <w:t>较2020年度决算数增加（减少）0  万元，增长（下降） 0 %，本单位一直没有该拨款收入。</w:t>
      </w:r>
    </w:p>
    <w:p>
      <w:pPr>
        <w:autoSpaceDE w:val="0"/>
        <w:autoSpaceDN w:val="0"/>
        <w:adjustRightInd w:val="0"/>
        <w:spacing w:line="560" w:lineRule="exact"/>
        <w:ind w:firstLine="548" w:firstLineChars="196"/>
        <w:jc w:val="left"/>
        <w:rPr>
          <w:rFonts w:ascii="仿宋_GB2312" w:eastAsia="仿宋_GB2312" w:cs="仿宋_GB2312"/>
          <w:kern w:val="0"/>
          <w:sz w:val="28"/>
          <w:szCs w:val="28"/>
        </w:rPr>
      </w:pPr>
      <w:r>
        <w:rPr>
          <w:rFonts w:hint="eastAsia" w:ascii="仿宋_GB2312" w:eastAsia="仿宋_GB2312"/>
          <w:bCs/>
          <w:kern w:val="0"/>
          <w:sz w:val="28"/>
          <w:szCs w:val="28"/>
        </w:rPr>
        <w:t>3</w:t>
      </w:r>
      <w:r>
        <w:rPr>
          <w:rFonts w:hint="eastAsia" w:ascii="仿宋_GB2312" w:eastAsia="仿宋_GB2312" w:cs="仿宋_GB2312"/>
          <w:kern w:val="0"/>
          <w:sz w:val="28"/>
          <w:szCs w:val="28"/>
        </w:rPr>
        <w:t>.国有资本经营预算财政拨款收入</w:t>
      </w:r>
      <w:r>
        <w:rPr>
          <w:rFonts w:hint="eastAsia" w:ascii="仿宋_GB2312" w:eastAsia="仿宋_GB2312"/>
          <w:kern w:val="0"/>
          <w:sz w:val="28"/>
          <w:szCs w:val="28"/>
        </w:rPr>
        <w:t xml:space="preserve">0 </w:t>
      </w:r>
      <w:r>
        <w:rPr>
          <w:rFonts w:hint="eastAsia" w:ascii="仿宋_GB2312" w:eastAsia="仿宋_GB2312" w:cs="仿宋_GB2312"/>
          <w:kern w:val="0"/>
          <w:sz w:val="28"/>
          <w:szCs w:val="28"/>
        </w:rPr>
        <w:t>万元。</w:t>
      </w:r>
      <w:r>
        <w:rPr>
          <w:rFonts w:hint="eastAsia" w:ascii="仿宋_GB2312" w:hAnsi="黑体" w:eastAsia="仿宋_GB2312" w:cs="仿宋_GB2312"/>
          <w:kern w:val="0"/>
          <w:sz w:val="28"/>
          <w:szCs w:val="28"/>
        </w:rPr>
        <w:t>较2020年度决算数增加（减少）0  万元，增长（下降） 0 %，本单位一直没有该拨款收入。</w:t>
      </w:r>
    </w:p>
    <w:p>
      <w:pPr>
        <w:autoSpaceDE w:val="0"/>
        <w:autoSpaceDN w:val="0"/>
        <w:adjustRightInd w:val="0"/>
        <w:spacing w:line="560" w:lineRule="exact"/>
        <w:ind w:firstLine="548" w:firstLineChars="196"/>
        <w:jc w:val="left"/>
        <w:rPr>
          <w:rFonts w:ascii="仿宋_GB2312" w:eastAsia="仿宋_GB2312" w:cs="仿宋_GB2312"/>
          <w:kern w:val="0"/>
          <w:sz w:val="28"/>
          <w:szCs w:val="28"/>
        </w:rPr>
      </w:pPr>
      <w:r>
        <w:rPr>
          <w:rFonts w:hint="eastAsia" w:ascii="仿宋_GB2312" w:eastAsia="仿宋_GB2312" w:cs="仿宋_GB2312"/>
          <w:kern w:val="0"/>
          <w:sz w:val="28"/>
          <w:szCs w:val="28"/>
        </w:rPr>
        <w:t>4.事业收入</w:t>
      </w:r>
      <w:r>
        <w:rPr>
          <w:rFonts w:hint="eastAsia" w:ascii="仿宋_GB2312" w:eastAsia="仿宋_GB2312"/>
          <w:kern w:val="0"/>
          <w:sz w:val="28"/>
          <w:szCs w:val="28"/>
        </w:rPr>
        <w:t xml:space="preserve">0 </w:t>
      </w:r>
      <w:r>
        <w:rPr>
          <w:rFonts w:hint="eastAsia" w:ascii="仿宋_GB2312" w:eastAsia="仿宋_GB2312" w:cs="仿宋_GB2312"/>
          <w:kern w:val="0"/>
          <w:sz w:val="28"/>
          <w:szCs w:val="28"/>
        </w:rPr>
        <w:t>万元。</w:t>
      </w:r>
      <w:r>
        <w:rPr>
          <w:rFonts w:hint="eastAsia" w:ascii="仿宋_GB2312" w:hAnsi="黑体" w:eastAsia="仿宋_GB2312" w:cs="仿宋_GB2312"/>
          <w:kern w:val="0"/>
          <w:sz w:val="28"/>
          <w:szCs w:val="28"/>
        </w:rPr>
        <w:t>较2020年度决算数增加（减少）0  万元，增长（下降） 0 %，本单位一直没有该拨款收入。</w:t>
      </w:r>
    </w:p>
    <w:p>
      <w:pPr>
        <w:autoSpaceDE w:val="0"/>
        <w:autoSpaceDN w:val="0"/>
        <w:adjustRightInd w:val="0"/>
        <w:spacing w:line="560" w:lineRule="exact"/>
        <w:ind w:firstLine="548" w:firstLineChars="196"/>
        <w:jc w:val="left"/>
        <w:rPr>
          <w:rFonts w:ascii="仿宋_GB2312" w:eastAsia="仿宋_GB2312" w:cs="仿宋_GB2312"/>
          <w:kern w:val="0"/>
          <w:sz w:val="28"/>
          <w:szCs w:val="28"/>
        </w:rPr>
      </w:pPr>
      <w:r>
        <w:rPr>
          <w:rFonts w:hint="eastAsia" w:ascii="仿宋_GB2312" w:eastAsia="仿宋_GB2312"/>
          <w:bCs/>
          <w:kern w:val="0"/>
          <w:sz w:val="28"/>
          <w:szCs w:val="28"/>
        </w:rPr>
        <w:t>5</w:t>
      </w:r>
      <w:r>
        <w:rPr>
          <w:rFonts w:hint="eastAsia" w:ascii="仿宋_GB2312" w:eastAsia="仿宋_GB2312" w:cs="仿宋_GB2312"/>
          <w:kern w:val="0"/>
          <w:sz w:val="28"/>
          <w:szCs w:val="28"/>
        </w:rPr>
        <w:t>.经营收入</w:t>
      </w:r>
      <w:r>
        <w:rPr>
          <w:rFonts w:hint="eastAsia" w:ascii="仿宋_GB2312" w:eastAsia="仿宋_GB2312"/>
          <w:kern w:val="0"/>
          <w:sz w:val="28"/>
          <w:szCs w:val="28"/>
        </w:rPr>
        <w:t xml:space="preserve">0 </w:t>
      </w:r>
      <w:r>
        <w:rPr>
          <w:rFonts w:hint="eastAsia" w:ascii="仿宋_GB2312" w:eastAsia="仿宋_GB2312" w:cs="仿宋_GB2312"/>
          <w:kern w:val="0"/>
          <w:sz w:val="28"/>
          <w:szCs w:val="28"/>
        </w:rPr>
        <w:t>万元。</w:t>
      </w:r>
      <w:r>
        <w:rPr>
          <w:rFonts w:hint="eastAsia" w:ascii="仿宋_GB2312" w:hAnsi="黑体" w:eastAsia="仿宋_GB2312" w:cs="仿宋_GB2312"/>
          <w:kern w:val="0"/>
          <w:sz w:val="28"/>
          <w:szCs w:val="28"/>
        </w:rPr>
        <w:t>较2020年度决算数增加（减少）0  万元，增长（下降） 0 %，本单位一直没有该拨款收入。。</w:t>
      </w:r>
    </w:p>
    <w:p>
      <w:pPr>
        <w:autoSpaceDE w:val="0"/>
        <w:autoSpaceDN w:val="0"/>
        <w:adjustRightInd w:val="0"/>
        <w:spacing w:line="560" w:lineRule="exact"/>
        <w:ind w:firstLine="548" w:firstLineChars="196"/>
        <w:jc w:val="left"/>
        <w:rPr>
          <w:rFonts w:ascii="仿宋_GB2312" w:hAnsi="黑体" w:eastAsia="仿宋_GB2312" w:cs="仿宋_GB2312"/>
          <w:kern w:val="0"/>
          <w:sz w:val="28"/>
          <w:szCs w:val="28"/>
        </w:rPr>
      </w:pPr>
      <w:r>
        <w:rPr>
          <w:rFonts w:hint="eastAsia" w:ascii="仿宋_GB2312" w:eastAsia="仿宋_GB2312"/>
          <w:bCs/>
          <w:kern w:val="0"/>
          <w:sz w:val="28"/>
          <w:szCs w:val="28"/>
        </w:rPr>
        <w:t>6</w:t>
      </w:r>
      <w:r>
        <w:rPr>
          <w:rFonts w:hint="eastAsia" w:ascii="仿宋_GB2312" w:eastAsia="仿宋_GB2312" w:cs="仿宋_GB2312"/>
          <w:kern w:val="0"/>
          <w:sz w:val="28"/>
          <w:szCs w:val="28"/>
        </w:rPr>
        <w:t>.其他收入</w:t>
      </w:r>
      <w:r>
        <w:rPr>
          <w:rFonts w:hint="eastAsia" w:ascii="仿宋_GB2312" w:eastAsia="仿宋_GB2312"/>
          <w:kern w:val="0"/>
          <w:sz w:val="28"/>
          <w:szCs w:val="28"/>
        </w:rPr>
        <w:t xml:space="preserve">0 </w:t>
      </w:r>
      <w:r>
        <w:rPr>
          <w:rFonts w:hint="eastAsia" w:ascii="仿宋_GB2312" w:eastAsia="仿宋_GB2312" w:cs="仿宋_GB2312"/>
          <w:kern w:val="0"/>
          <w:sz w:val="28"/>
          <w:szCs w:val="28"/>
        </w:rPr>
        <w:t>万元。</w:t>
      </w:r>
      <w:r>
        <w:rPr>
          <w:rFonts w:hint="eastAsia" w:ascii="仿宋_GB2312" w:hAnsi="黑体" w:eastAsia="仿宋_GB2312" w:cs="仿宋_GB2312"/>
          <w:kern w:val="0"/>
          <w:sz w:val="28"/>
          <w:szCs w:val="28"/>
        </w:rPr>
        <w:t>较2020年度决算数增加（减少）0  万元，增长（下降） 0 %，本单位一直没有该拨款收入。</w:t>
      </w:r>
    </w:p>
    <w:p>
      <w:pPr>
        <w:autoSpaceDE w:val="0"/>
        <w:autoSpaceDN w:val="0"/>
        <w:adjustRightInd w:val="0"/>
        <w:spacing w:line="560" w:lineRule="exact"/>
        <w:ind w:firstLine="548" w:firstLineChars="196"/>
        <w:jc w:val="left"/>
        <w:rPr>
          <w:rFonts w:ascii="仿宋_GB2312" w:eastAsia="仿宋_GB2312" w:cs="仿宋_GB2312"/>
          <w:kern w:val="0"/>
          <w:sz w:val="28"/>
          <w:szCs w:val="28"/>
        </w:rPr>
      </w:pPr>
      <w:r>
        <w:rPr>
          <w:rFonts w:hint="eastAsia" w:ascii="仿宋_GB2312" w:eastAsia="仿宋_GB2312"/>
          <w:bCs/>
          <w:kern w:val="0"/>
          <w:sz w:val="28"/>
          <w:szCs w:val="28"/>
        </w:rPr>
        <w:t>7</w:t>
      </w:r>
      <w:r>
        <w:rPr>
          <w:rFonts w:hint="eastAsia" w:ascii="仿宋_GB2312" w:eastAsia="仿宋_GB2312" w:cs="仿宋_GB2312"/>
          <w:kern w:val="0"/>
          <w:sz w:val="28"/>
          <w:szCs w:val="28"/>
        </w:rPr>
        <w:t>.使用非财政拨款结余</w:t>
      </w:r>
      <w:r>
        <w:rPr>
          <w:rFonts w:hint="eastAsia" w:ascii="仿宋_GB2312" w:eastAsia="仿宋_GB2312"/>
          <w:kern w:val="0"/>
          <w:sz w:val="28"/>
          <w:szCs w:val="28"/>
        </w:rPr>
        <w:t xml:space="preserve">0 </w:t>
      </w:r>
      <w:r>
        <w:rPr>
          <w:rFonts w:hint="eastAsia" w:ascii="仿宋_GB2312" w:eastAsia="仿宋_GB2312" w:cs="仿宋_GB2312"/>
          <w:kern w:val="0"/>
          <w:sz w:val="28"/>
          <w:szCs w:val="28"/>
        </w:rPr>
        <w:t>万元。</w:t>
      </w:r>
      <w:r>
        <w:rPr>
          <w:rFonts w:hint="eastAsia" w:ascii="仿宋_GB2312" w:hAnsi="黑体" w:eastAsia="仿宋_GB2312" w:cs="仿宋_GB2312"/>
          <w:kern w:val="0"/>
          <w:sz w:val="28"/>
          <w:szCs w:val="28"/>
        </w:rPr>
        <w:t>较2020年度决算数增加（减少）0  万元，增长（下降） 0 %，本单位一直没有该拨款收入。</w:t>
      </w:r>
    </w:p>
    <w:p>
      <w:pPr>
        <w:autoSpaceDE w:val="0"/>
        <w:autoSpaceDN w:val="0"/>
        <w:adjustRightInd w:val="0"/>
        <w:spacing w:line="560" w:lineRule="exact"/>
        <w:ind w:firstLine="548" w:firstLineChars="196"/>
        <w:jc w:val="left"/>
        <w:rPr>
          <w:rFonts w:ascii="仿宋" w:hAnsi="仿宋" w:eastAsia="仿宋" w:cs="仿宋"/>
          <w:sz w:val="28"/>
          <w:szCs w:val="28"/>
        </w:rPr>
      </w:pPr>
      <w:r>
        <w:rPr>
          <w:rFonts w:hint="eastAsia" w:ascii="仿宋_GB2312" w:eastAsia="仿宋_GB2312"/>
          <w:bCs/>
          <w:kern w:val="0"/>
          <w:sz w:val="28"/>
          <w:szCs w:val="28"/>
        </w:rPr>
        <w:t>8</w:t>
      </w:r>
      <w:r>
        <w:rPr>
          <w:rFonts w:hint="eastAsia" w:ascii="仿宋_GB2312" w:eastAsia="仿宋_GB2312" w:cs="仿宋_GB2312"/>
          <w:kern w:val="0"/>
          <w:sz w:val="28"/>
          <w:szCs w:val="28"/>
        </w:rPr>
        <w:t>.上年结转和结余</w:t>
      </w:r>
      <w:r>
        <w:rPr>
          <w:rFonts w:hint="eastAsia" w:ascii="仿宋_GB2312" w:eastAsia="仿宋_GB2312"/>
          <w:kern w:val="0"/>
          <w:sz w:val="28"/>
          <w:szCs w:val="28"/>
        </w:rPr>
        <w:t>7.34</w:t>
      </w:r>
      <w:r>
        <w:rPr>
          <w:rFonts w:hint="eastAsia" w:ascii="仿宋_GB2312" w:eastAsia="仿宋_GB2312" w:cs="仿宋_GB2312"/>
          <w:kern w:val="0"/>
          <w:sz w:val="28"/>
          <w:szCs w:val="28"/>
        </w:rPr>
        <w:t>万元，为以前年度支出预算因客观条件变化未执行完毕、结转到本年度按有关规定继续使用的资金。</w:t>
      </w:r>
      <w:r>
        <w:rPr>
          <w:rFonts w:hint="eastAsia" w:ascii="仿宋_GB2312" w:hAnsi="黑体" w:eastAsia="仿宋_GB2312" w:cs="仿宋_GB2312"/>
          <w:kern w:val="0"/>
          <w:sz w:val="28"/>
          <w:szCs w:val="28"/>
        </w:rPr>
        <w:t>较2020年度决算数增加2.94万元，增长66.63 %，主要原因是：由于2021年11月调整社保和医保基数，12月社保系统调整变更信息我单位未成功，导致需要补缴1-11月社保及12月应缴的社保相关费用，延后到2022年1月系统才推送生成应缴的社保费用数据，故将相应的应缴未缴的社保费用结转到2022年使用。</w:t>
      </w:r>
    </w:p>
    <w:p>
      <w:pPr>
        <w:autoSpaceDE w:val="0"/>
        <w:autoSpaceDN w:val="0"/>
        <w:adjustRightInd w:val="0"/>
        <w:spacing w:line="560" w:lineRule="exact"/>
        <w:ind w:firstLine="562" w:firstLineChars="200"/>
        <w:jc w:val="left"/>
        <w:rPr>
          <w:rFonts w:ascii="仿宋_GB2312" w:eastAsia="仿宋_GB2312" w:cs="仿宋_GB2312"/>
          <w:kern w:val="0"/>
          <w:sz w:val="28"/>
          <w:szCs w:val="28"/>
        </w:rPr>
      </w:pPr>
      <w:r>
        <w:rPr>
          <w:rFonts w:hint="eastAsia" w:ascii="仿宋" w:hAnsi="仿宋" w:eastAsia="仿宋" w:cs="仿宋_GB2312"/>
          <w:b/>
          <w:kern w:val="0"/>
          <w:sz w:val="28"/>
          <w:szCs w:val="28"/>
        </w:rPr>
        <w:t>（二）</w:t>
      </w:r>
      <w:r>
        <w:rPr>
          <w:rFonts w:hint="eastAsia" w:ascii="仿宋_GB2312" w:eastAsia="仿宋_GB2312" w:cs="仿宋_GB2312"/>
          <w:kern w:val="0"/>
          <w:sz w:val="28"/>
          <w:szCs w:val="28"/>
        </w:rPr>
        <w:t xml:space="preserve">本部门2021年度总支出375.04万元，其中本年支出  367.69万元, </w:t>
      </w:r>
      <w:r>
        <w:rPr>
          <w:rFonts w:hint="eastAsia" w:ascii="仿宋_GB2312" w:hAnsi="黑体" w:eastAsia="仿宋_GB2312" w:cs="仿宋_GB2312"/>
          <w:kern w:val="0"/>
          <w:sz w:val="28"/>
          <w:szCs w:val="28"/>
        </w:rPr>
        <w:t>较2020年度决算数减少45.15万元，下降10.94%。</w:t>
      </w:r>
      <w:r>
        <w:rPr>
          <w:rFonts w:hint="eastAsia" w:ascii="仿宋_GB2312" w:eastAsia="仿宋_GB2312" w:cs="仿宋_GB2312"/>
          <w:kern w:val="0"/>
          <w:sz w:val="28"/>
          <w:szCs w:val="28"/>
        </w:rPr>
        <w:t>支出具体情况如下：</w:t>
      </w:r>
    </w:p>
    <w:p>
      <w:pPr>
        <w:autoSpaceDE w:val="0"/>
        <w:autoSpaceDN w:val="0"/>
        <w:adjustRightInd w:val="0"/>
        <w:spacing w:line="560" w:lineRule="exact"/>
        <w:ind w:firstLine="548" w:firstLineChars="196"/>
        <w:jc w:val="left"/>
        <w:rPr>
          <w:rFonts w:ascii="仿宋" w:hAnsi="仿宋" w:eastAsia="仿宋" w:cs="仿宋_GB2312"/>
          <w:b/>
          <w:kern w:val="0"/>
          <w:sz w:val="28"/>
          <w:szCs w:val="28"/>
        </w:rPr>
      </w:pPr>
      <w:r>
        <w:rPr>
          <w:rFonts w:hint="eastAsia" w:ascii="仿宋_GB2312" w:eastAsia="仿宋_GB2312"/>
          <w:bCs/>
          <w:kern w:val="0"/>
          <w:sz w:val="28"/>
          <w:szCs w:val="28"/>
        </w:rPr>
        <w:t>1</w:t>
      </w:r>
      <w:r>
        <w:rPr>
          <w:rFonts w:hint="eastAsia" w:ascii="仿宋_GB2312" w:eastAsia="仿宋_GB2312" w:cs="仿宋_GB2312"/>
          <w:kern w:val="0"/>
          <w:sz w:val="28"/>
          <w:szCs w:val="28"/>
        </w:rPr>
        <w:t>.一般公共服务支出314.16万元：主要用于事业运行的人员工资和公用经费支出共计180.19万元，其他政府办公厅（室）及相关机构事务的项目支出133.97万元。</w:t>
      </w:r>
      <w:r>
        <w:rPr>
          <w:rFonts w:hint="eastAsia" w:ascii="仿宋_GB2312" w:hAnsi="黑体" w:eastAsia="仿宋_GB2312" w:cs="仿宋_GB2312"/>
          <w:kern w:val="0"/>
          <w:sz w:val="28"/>
          <w:szCs w:val="28"/>
        </w:rPr>
        <w:t>较2020年度决算数减少43.9万元，下降12.26 %，主要原因是</w:t>
      </w:r>
      <w:r>
        <w:rPr>
          <w:rFonts w:hint="eastAsia" w:ascii="仿宋" w:hAnsi="仿宋" w:eastAsia="仿宋" w:cs="仿宋_GB2312"/>
          <w:kern w:val="0"/>
          <w:sz w:val="28"/>
          <w:szCs w:val="28"/>
        </w:rPr>
        <w:t>：由于单位职能转变，</w:t>
      </w:r>
      <w:r>
        <w:rPr>
          <w:rFonts w:hint="eastAsia" w:ascii="仿宋" w:hAnsi="仿宋" w:eastAsia="仿宋"/>
          <w:sz w:val="28"/>
          <w:szCs w:val="28"/>
        </w:rPr>
        <w:t>国有土地使用权和矿业权、海域使用权招拍挂的出让公告，变更公告、出让结果公示等发布公告业务从3月份起全部移交给市国土资源局和市海洋局进行公告发布业务，相应的减少了公告</w:t>
      </w:r>
      <w:r>
        <w:rPr>
          <w:rFonts w:hint="eastAsia" w:ascii="仿宋" w:hAnsi="仿宋" w:eastAsia="仿宋" w:cs="仿宋"/>
          <w:sz w:val="28"/>
          <w:szCs w:val="28"/>
        </w:rPr>
        <w:t>费用的开支。</w:t>
      </w:r>
    </w:p>
    <w:p>
      <w:pPr>
        <w:ind w:firstLine="709"/>
        <w:rPr>
          <w:rFonts w:ascii="仿宋" w:hAnsi="仿宋" w:eastAsia="仿宋" w:cs="仿宋"/>
          <w:sz w:val="28"/>
          <w:szCs w:val="28"/>
        </w:rPr>
      </w:pPr>
      <w:r>
        <w:rPr>
          <w:rFonts w:hint="eastAsia" w:ascii="仿宋" w:hAnsi="仿宋" w:eastAsia="仿宋" w:cs="仿宋"/>
          <w:sz w:val="28"/>
          <w:szCs w:val="28"/>
        </w:rPr>
        <w:t>2.社会保障和就业支出23.4万元，</w:t>
      </w:r>
      <w:r>
        <w:rPr>
          <w:rFonts w:hint="eastAsia" w:ascii="仿宋" w:hAnsi="仿宋" w:eastAsia="仿宋" w:cs="仿宋_GB2312"/>
          <w:kern w:val="0"/>
          <w:sz w:val="28"/>
          <w:szCs w:val="28"/>
        </w:rPr>
        <w:t>较2020年</w:t>
      </w:r>
      <w:r>
        <w:rPr>
          <w:rFonts w:hint="eastAsia" w:ascii="仿宋" w:hAnsi="仿宋" w:eastAsia="仿宋" w:cs="仿宋"/>
          <w:sz w:val="28"/>
          <w:szCs w:val="28"/>
        </w:rPr>
        <w:t>23.69万元</w:t>
      </w:r>
      <w:r>
        <w:rPr>
          <w:rFonts w:hint="eastAsia" w:ascii="仿宋" w:hAnsi="仿宋" w:eastAsia="仿宋" w:cs="仿宋_GB2312"/>
          <w:kern w:val="0"/>
          <w:sz w:val="28"/>
          <w:szCs w:val="28"/>
        </w:rPr>
        <w:t>，减少了0.29万元，下降了1.08%。</w:t>
      </w:r>
    </w:p>
    <w:p>
      <w:pPr>
        <w:ind w:firstLine="709"/>
        <w:rPr>
          <w:rFonts w:ascii="仿宋" w:hAnsi="仿宋" w:eastAsia="仿宋" w:cs="仿宋"/>
          <w:sz w:val="28"/>
          <w:szCs w:val="28"/>
        </w:rPr>
      </w:pPr>
      <w:r>
        <w:rPr>
          <w:rFonts w:hint="eastAsia" w:ascii="仿宋" w:hAnsi="仿宋" w:eastAsia="仿宋" w:cs="仿宋"/>
          <w:sz w:val="28"/>
          <w:szCs w:val="28"/>
        </w:rPr>
        <w:t>3.住房保障支出19.96万元，</w:t>
      </w:r>
      <w:r>
        <w:rPr>
          <w:rFonts w:hint="eastAsia" w:ascii="仿宋" w:hAnsi="仿宋" w:eastAsia="仿宋" w:cs="仿宋_GB2312"/>
          <w:kern w:val="0"/>
          <w:sz w:val="28"/>
          <w:szCs w:val="28"/>
        </w:rPr>
        <w:t>较2020年</w:t>
      </w:r>
      <w:r>
        <w:rPr>
          <w:rFonts w:hint="eastAsia" w:ascii="仿宋" w:hAnsi="仿宋" w:eastAsia="仿宋" w:cs="仿宋"/>
          <w:sz w:val="28"/>
          <w:szCs w:val="28"/>
        </w:rPr>
        <w:t>19.45</w:t>
      </w:r>
      <w:r>
        <w:rPr>
          <w:rFonts w:hint="eastAsia" w:ascii="仿宋" w:hAnsi="仿宋" w:eastAsia="仿宋" w:cs="仿宋_GB2312"/>
          <w:kern w:val="0"/>
          <w:sz w:val="28"/>
          <w:szCs w:val="28"/>
        </w:rPr>
        <w:t>万元，增加了0.51万元，增长了2.62%。</w:t>
      </w:r>
    </w:p>
    <w:p>
      <w:pPr>
        <w:ind w:firstLine="709"/>
        <w:rPr>
          <w:rFonts w:ascii="仿宋" w:hAnsi="仿宋" w:eastAsia="仿宋" w:cs="仿宋_GB2312"/>
          <w:kern w:val="0"/>
          <w:sz w:val="28"/>
          <w:szCs w:val="28"/>
        </w:rPr>
      </w:pPr>
      <w:r>
        <w:rPr>
          <w:rFonts w:hint="eastAsia" w:ascii="仿宋" w:hAnsi="仿宋" w:eastAsia="仿宋" w:cs="仿宋"/>
          <w:sz w:val="28"/>
          <w:szCs w:val="28"/>
        </w:rPr>
        <w:t>4.卫生健康支出为10.17万元，</w:t>
      </w:r>
      <w:r>
        <w:rPr>
          <w:rFonts w:hint="eastAsia" w:ascii="仿宋" w:hAnsi="仿宋" w:eastAsia="仿宋" w:cs="仿宋_GB2312"/>
          <w:kern w:val="0"/>
          <w:sz w:val="28"/>
          <w:szCs w:val="28"/>
        </w:rPr>
        <w:t>较2020年</w:t>
      </w:r>
      <w:r>
        <w:rPr>
          <w:rFonts w:hint="eastAsia" w:ascii="仿宋" w:hAnsi="仿宋" w:eastAsia="仿宋" w:cs="仿宋"/>
          <w:sz w:val="28"/>
          <w:szCs w:val="28"/>
        </w:rPr>
        <w:t>11.65</w:t>
      </w:r>
      <w:r>
        <w:rPr>
          <w:rFonts w:hint="eastAsia" w:ascii="仿宋" w:hAnsi="仿宋" w:eastAsia="仿宋" w:cs="仿宋_GB2312"/>
          <w:kern w:val="0"/>
          <w:sz w:val="28"/>
          <w:szCs w:val="28"/>
        </w:rPr>
        <w:t>万元，增加了1.48万元，下降了1.48%。</w:t>
      </w:r>
    </w:p>
    <w:p>
      <w:pPr>
        <w:autoSpaceDE w:val="0"/>
        <w:autoSpaceDN w:val="0"/>
        <w:adjustRightInd w:val="0"/>
        <w:spacing w:line="560" w:lineRule="exact"/>
        <w:ind w:firstLine="548" w:firstLineChars="196"/>
        <w:jc w:val="left"/>
        <w:rPr>
          <w:rFonts w:ascii="仿宋" w:hAnsi="仿宋" w:eastAsia="仿宋" w:cs="仿宋"/>
          <w:sz w:val="28"/>
          <w:szCs w:val="28"/>
        </w:rPr>
      </w:pPr>
      <w:r>
        <w:rPr>
          <w:rFonts w:hint="eastAsia" w:ascii="仿宋" w:hAnsi="仿宋" w:eastAsia="仿宋" w:cs="仿宋_GB2312"/>
          <w:kern w:val="0"/>
          <w:sz w:val="28"/>
          <w:szCs w:val="28"/>
        </w:rPr>
        <w:t>5.</w:t>
      </w:r>
      <w:r>
        <w:rPr>
          <w:rFonts w:hint="eastAsia" w:ascii="仿宋_GB2312" w:eastAsia="仿宋_GB2312" w:cs="仿宋_GB2312"/>
          <w:kern w:val="0"/>
          <w:sz w:val="32"/>
          <w:szCs w:val="32"/>
        </w:rPr>
        <w:t xml:space="preserve"> 年末结转和结余</w:t>
      </w:r>
      <w:r>
        <w:rPr>
          <w:rFonts w:hint="eastAsia" w:ascii="仿宋_GB2312" w:eastAsia="仿宋_GB2312"/>
          <w:kern w:val="0"/>
          <w:sz w:val="32"/>
          <w:szCs w:val="32"/>
        </w:rPr>
        <w:t>7.35</w:t>
      </w:r>
      <w:r>
        <w:rPr>
          <w:rFonts w:hint="eastAsia" w:ascii="仿宋_GB2312" w:eastAsia="仿宋_GB2312" w:cs="仿宋_GB2312"/>
          <w:kern w:val="0"/>
          <w:sz w:val="32"/>
          <w:szCs w:val="32"/>
        </w:rPr>
        <w:t>万元，为本年度或以前年度预算安排、因客观条件发生变化无法按原计划实施，需要延迟到以后年度按有关规定继续使用的资金。</w:t>
      </w:r>
      <w:r>
        <w:rPr>
          <w:rFonts w:hint="eastAsia" w:ascii="仿宋_GB2312" w:hAnsi="黑体" w:eastAsia="仿宋_GB2312" w:cs="仿宋_GB2312"/>
          <w:kern w:val="0"/>
          <w:sz w:val="32"/>
          <w:szCs w:val="32"/>
        </w:rPr>
        <w:t>较2020年度决算数增加2.93万元，增长66.63%，主要原因是：</w:t>
      </w:r>
      <w:r>
        <w:rPr>
          <w:rFonts w:hint="eastAsia" w:ascii="仿宋_GB2312" w:hAnsi="黑体" w:eastAsia="仿宋_GB2312" w:cs="仿宋_GB2312"/>
          <w:kern w:val="0"/>
          <w:sz w:val="28"/>
          <w:szCs w:val="28"/>
        </w:rPr>
        <w:t>由于2021年11月调整社保和医保基数，12月社保系统调整变更信息我单位未成功，导致需要补缴1-11月社保及12月应缴的社保相关费用，延后到2022年1月系统才推送生成应缴的社保费用数据，故将相应的应缴未缴的社保费用结转到2022年使用。</w:t>
      </w:r>
    </w:p>
    <w:p>
      <w:pPr>
        <w:autoSpaceDE w:val="0"/>
        <w:autoSpaceDN w:val="0"/>
        <w:adjustRightInd w:val="0"/>
        <w:spacing w:line="560" w:lineRule="exact"/>
        <w:ind w:firstLine="560" w:firstLineChars="200"/>
        <w:jc w:val="left"/>
        <w:rPr>
          <w:rFonts w:ascii="黑体" w:hAnsi="黑体" w:eastAsia="黑体" w:cs="仿宋_GB2312"/>
          <w:kern w:val="0"/>
          <w:sz w:val="28"/>
          <w:szCs w:val="28"/>
        </w:rPr>
      </w:pPr>
      <w:r>
        <w:rPr>
          <w:rFonts w:hint="eastAsia" w:ascii="黑体" w:hAnsi="黑体" w:eastAsia="黑体" w:cs="仿宋_GB2312"/>
          <w:kern w:val="0"/>
          <w:sz w:val="28"/>
          <w:szCs w:val="28"/>
        </w:rPr>
        <w:t>二、</w:t>
      </w:r>
      <w:r>
        <w:rPr>
          <w:rFonts w:hint="eastAsia" w:ascii="黑体" w:hAnsi="黑体" w:eastAsia="黑体"/>
          <w:kern w:val="0"/>
          <w:sz w:val="28"/>
          <w:szCs w:val="28"/>
        </w:rPr>
        <w:t xml:space="preserve">2021 </w:t>
      </w:r>
      <w:r>
        <w:rPr>
          <w:rFonts w:hint="eastAsia" w:ascii="黑体" w:hAnsi="黑体" w:eastAsia="黑体" w:cs="仿宋_GB2312"/>
          <w:kern w:val="0"/>
          <w:sz w:val="28"/>
          <w:szCs w:val="28"/>
        </w:rPr>
        <w:t>年度</w:t>
      </w:r>
      <w:r>
        <w:rPr>
          <w:rFonts w:hint="eastAsia" w:ascii="黑体" w:hAnsi="黑体" w:eastAsia="黑体"/>
          <w:sz w:val="28"/>
          <w:szCs w:val="28"/>
        </w:rPr>
        <w:t>一般</w:t>
      </w:r>
      <w:r>
        <w:rPr>
          <w:rFonts w:hint="eastAsia" w:ascii="黑体" w:hAnsi="黑体" w:eastAsia="黑体" w:cs="仿宋_GB2312"/>
          <w:kern w:val="0"/>
          <w:sz w:val="28"/>
          <w:szCs w:val="28"/>
        </w:rPr>
        <w:t>公共预算财政拨款支出决算情况</w:t>
      </w:r>
    </w:p>
    <w:p>
      <w:pPr>
        <w:autoSpaceDE w:val="0"/>
        <w:autoSpaceDN w:val="0"/>
        <w:adjustRightInd w:val="0"/>
        <w:spacing w:line="560" w:lineRule="exact"/>
        <w:ind w:firstLine="560" w:firstLineChars="200"/>
        <w:jc w:val="left"/>
        <w:rPr>
          <w:rFonts w:ascii="仿宋_GB2312" w:eastAsia="仿宋_GB2312" w:cs="仿宋_GB2312"/>
          <w:kern w:val="0"/>
          <w:sz w:val="28"/>
          <w:szCs w:val="28"/>
        </w:rPr>
      </w:pPr>
      <w:r>
        <w:rPr>
          <w:rFonts w:hint="eastAsia" w:ascii="仿宋" w:hAnsi="仿宋" w:eastAsia="仿宋"/>
          <w:bCs/>
          <w:color w:val="000000"/>
          <w:sz w:val="28"/>
          <w:szCs w:val="28"/>
        </w:rPr>
        <w:t>防城港市公共资源交易中心</w:t>
      </w:r>
      <w:r>
        <w:rPr>
          <w:rFonts w:hint="eastAsia" w:ascii="仿宋_GB2312" w:eastAsia="仿宋_GB2312"/>
          <w:kern w:val="0"/>
          <w:sz w:val="28"/>
          <w:szCs w:val="28"/>
        </w:rPr>
        <w:t xml:space="preserve">2021 </w:t>
      </w:r>
      <w:r>
        <w:rPr>
          <w:rFonts w:hint="eastAsia" w:ascii="仿宋_GB2312" w:eastAsia="仿宋_GB2312" w:cs="仿宋_GB2312"/>
          <w:kern w:val="0"/>
          <w:sz w:val="28"/>
          <w:szCs w:val="28"/>
        </w:rPr>
        <w:t>年度</w:t>
      </w:r>
      <w:r>
        <w:rPr>
          <w:rFonts w:hint="eastAsia" w:ascii="仿宋_GB2312" w:eastAsia="仿宋_GB2312"/>
          <w:sz w:val="28"/>
          <w:szCs w:val="28"/>
        </w:rPr>
        <w:t>一般</w:t>
      </w:r>
      <w:r>
        <w:rPr>
          <w:rFonts w:hint="eastAsia" w:ascii="仿宋_GB2312" w:eastAsia="仿宋_GB2312" w:cs="仿宋_GB2312"/>
          <w:kern w:val="0"/>
          <w:sz w:val="28"/>
          <w:szCs w:val="28"/>
        </w:rPr>
        <w:t>公共预算财政拨款支出</w:t>
      </w:r>
      <w:r>
        <w:rPr>
          <w:rFonts w:hint="eastAsia" w:ascii="仿宋_GB2312" w:eastAsia="仿宋_GB2312"/>
          <w:kern w:val="0"/>
          <w:sz w:val="28"/>
          <w:szCs w:val="28"/>
        </w:rPr>
        <w:t>367.68</w:t>
      </w:r>
      <w:r>
        <w:rPr>
          <w:rFonts w:hint="eastAsia" w:ascii="仿宋_GB2312" w:eastAsia="仿宋_GB2312" w:cs="仿宋_GB2312"/>
          <w:kern w:val="0"/>
          <w:sz w:val="28"/>
          <w:szCs w:val="28"/>
        </w:rPr>
        <w:t>万元，</w:t>
      </w:r>
      <w:r>
        <w:rPr>
          <w:rFonts w:hint="eastAsia" w:ascii="仿宋_GB2312" w:hAnsi="黑体" w:eastAsia="仿宋_GB2312" w:cs="仿宋_GB2312"/>
          <w:kern w:val="0"/>
          <w:sz w:val="28"/>
          <w:szCs w:val="28"/>
        </w:rPr>
        <w:t>较2020年度决算数减少45.15万元，下降10.9 %。</w:t>
      </w:r>
      <w:r>
        <w:rPr>
          <w:rFonts w:hint="eastAsia" w:ascii="仿宋_GB2312" w:eastAsia="仿宋_GB2312" w:cs="仿宋_GB2312"/>
          <w:kern w:val="0"/>
          <w:sz w:val="28"/>
          <w:szCs w:val="28"/>
        </w:rPr>
        <w:t>其中：基本支出</w:t>
      </w:r>
      <w:r>
        <w:rPr>
          <w:rFonts w:hint="eastAsia" w:ascii="仿宋_GB2312" w:eastAsia="仿宋_GB2312"/>
          <w:kern w:val="0"/>
          <w:sz w:val="28"/>
          <w:szCs w:val="28"/>
        </w:rPr>
        <w:t>233.71</w:t>
      </w:r>
      <w:r>
        <w:rPr>
          <w:rFonts w:hint="eastAsia" w:ascii="仿宋_GB2312" w:eastAsia="仿宋_GB2312" w:cs="仿宋_GB2312"/>
          <w:kern w:val="0"/>
          <w:sz w:val="28"/>
          <w:szCs w:val="28"/>
        </w:rPr>
        <w:t>万元，项目支出</w:t>
      </w:r>
      <w:r>
        <w:rPr>
          <w:rFonts w:hint="eastAsia" w:ascii="仿宋_GB2312" w:eastAsia="仿宋_GB2312"/>
          <w:kern w:val="0"/>
          <w:sz w:val="28"/>
          <w:szCs w:val="28"/>
        </w:rPr>
        <w:t>133.97</w:t>
      </w:r>
      <w:r>
        <w:rPr>
          <w:rFonts w:hint="eastAsia" w:ascii="仿宋_GB2312" w:eastAsia="仿宋_GB2312" w:cs="仿宋_GB2312"/>
          <w:kern w:val="0"/>
          <w:sz w:val="28"/>
          <w:szCs w:val="28"/>
        </w:rPr>
        <w:t>万元。</w:t>
      </w:r>
    </w:p>
    <w:p>
      <w:pPr>
        <w:autoSpaceDE w:val="0"/>
        <w:autoSpaceDN w:val="0"/>
        <w:adjustRightInd w:val="0"/>
        <w:spacing w:line="560" w:lineRule="exact"/>
        <w:ind w:firstLine="560" w:firstLineChars="200"/>
        <w:jc w:val="left"/>
        <w:rPr>
          <w:rFonts w:ascii="仿宋_GB2312" w:hAnsi="黑体" w:eastAsia="仿宋_GB2312" w:cs="仿宋_GB2312"/>
          <w:kern w:val="0"/>
          <w:sz w:val="28"/>
          <w:szCs w:val="28"/>
        </w:rPr>
      </w:pPr>
      <w:r>
        <w:rPr>
          <w:rFonts w:hint="eastAsia" w:ascii="仿宋" w:hAnsi="仿宋" w:eastAsia="仿宋"/>
          <w:bCs/>
          <w:color w:val="000000"/>
          <w:sz w:val="28"/>
          <w:szCs w:val="28"/>
        </w:rPr>
        <w:t>防城港市公共资源交易中心</w:t>
      </w:r>
      <w:r>
        <w:rPr>
          <w:rFonts w:hint="eastAsia" w:ascii="仿宋_GB2312" w:hAnsi="黑体" w:eastAsia="仿宋_GB2312"/>
          <w:kern w:val="0"/>
          <w:sz w:val="28"/>
          <w:szCs w:val="28"/>
        </w:rPr>
        <w:t xml:space="preserve">2021 </w:t>
      </w:r>
      <w:r>
        <w:rPr>
          <w:rFonts w:hint="eastAsia" w:ascii="仿宋_GB2312" w:hAnsi="黑体" w:eastAsia="仿宋_GB2312" w:cs="仿宋_GB2312"/>
          <w:kern w:val="0"/>
          <w:sz w:val="28"/>
          <w:szCs w:val="28"/>
        </w:rPr>
        <w:t>年度</w:t>
      </w:r>
      <w:r>
        <w:rPr>
          <w:rFonts w:hint="eastAsia" w:ascii="仿宋_GB2312" w:hAnsi="黑体" w:eastAsia="仿宋_GB2312"/>
          <w:sz w:val="28"/>
          <w:szCs w:val="28"/>
        </w:rPr>
        <w:t>一般</w:t>
      </w:r>
      <w:r>
        <w:rPr>
          <w:rFonts w:hint="eastAsia" w:ascii="仿宋_GB2312" w:hAnsi="黑体" w:eastAsia="仿宋_GB2312" w:cs="仿宋_GB2312"/>
          <w:kern w:val="0"/>
          <w:sz w:val="28"/>
          <w:szCs w:val="28"/>
        </w:rPr>
        <w:t>公共预算财政拨款支出年初预算为422.49万元，支出决算为367.68万元，完成年初预算的87.03%。</w:t>
      </w:r>
    </w:p>
    <w:p>
      <w:pPr>
        <w:autoSpaceDE w:val="0"/>
        <w:autoSpaceDN w:val="0"/>
        <w:adjustRightInd w:val="0"/>
        <w:spacing w:line="560" w:lineRule="exact"/>
        <w:ind w:firstLine="548" w:firstLineChars="196"/>
        <w:jc w:val="left"/>
        <w:rPr>
          <w:rFonts w:ascii="仿宋" w:hAnsi="仿宋" w:eastAsia="仿宋" w:cs="仿宋"/>
          <w:sz w:val="28"/>
          <w:szCs w:val="28"/>
        </w:rPr>
      </w:pPr>
      <w:r>
        <w:rPr>
          <w:rFonts w:hint="eastAsia" w:ascii="仿宋_GB2312" w:eastAsia="仿宋_GB2312"/>
          <w:bCs/>
          <w:kern w:val="0"/>
          <w:sz w:val="28"/>
          <w:szCs w:val="28"/>
        </w:rPr>
        <w:t>（一）</w:t>
      </w:r>
      <w:r>
        <w:rPr>
          <w:rFonts w:hint="eastAsia" w:ascii="仿宋_GB2312" w:eastAsia="仿宋_GB2312" w:cs="仿宋_GB2312"/>
          <w:kern w:val="0"/>
          <w:sz w:val="28"/>
          <w:szCs w:val="28"/>
        </w:rPr>
        <w:t>一般公共服务支出（类）</w:t>
      </w:r>
      <w:r>
        <w:rPr>
          <w:rFonts w:hint="eastAsia" w:ascii="仿宋_GB2312" w:hAnsi="黑体" w:eastAsia="仿宋_GB2312" w:cs="仿宋_GB2312"/>
          <w:kern w:val="0"/>
          <w:sz w:val="28"/>
          <w:szCs w:val="28"/>
        </w:rPr>
        <w:t>年初预算为366.61万元，支出决算为314.16万元，完成年初预算的85.69 %。主要原因是：</w:t>
      </w:r>
      <w:r>
        <w:rPr>
          <w:rFonts w:hint="eastAsia" w:ascii="仿宋" w:hAnsi="仿宋" w:eastAsia="仿宋" w:cs="仿宋_GB2312"/>
          <w:kern w:val="0"/>
          <w:sz w:val="28"/>
          <w:szCs w:val="28"/>
        </w:rPr>
        <w:t>由于单位职能转变，</w:t>
      </w:r>
      <w:r>
        <w:rPr>
          <w:rFonts w:hint="eastAsia" w:ascii="仿宋" w:hAnsi="仿宋" w:eastAsia="仿宋"/>
          <w:sz w:val="28"/>
          <w:szCs w:val="28"/>
        </w:rPr>
        <w:t>国有土地使用权和矿业权、海域使用权招拍挂的出让公告，变更公告、出让结果公示等发布公告业务从3月起分别移交给市国土资源局和市海洋局进行公告发布业务，相应的公告预算经费也相应转移给相应市国土资源局和市海洋局进行开</w:t>
      </w:r>
      <w:r>
        <w:rPr>
          <w:rFonts w:hint="eastAsia" w:ascii="仿宋" w:hAnsi="仿宋" w:eastAsia="仿宋" w:cs="仿宋"/>
          <w:sz w:val="28"/>
          <w:szCs w:val="28"/>
        </w:rPr>
        <w:t>支。</w:t>
      </w:r>
    </w:p>
    <w:p>
      <w:pPr>
        <w:ind w:firstLine="709"/>
        <w:rPr>
          <w:rFonts w:ascii="仿宋" w:hAnsi="仿宋" w:eastAsia="仿宋" w:cs="仿宋"/>
          <w:sz w:val="28"/>
          <w:szCs w:val="28"/>
        </w:rPr>
      </w:pPr>
      <w:r>
        <w:rPr>
          <w:rFonts w:hint="eastAsia" w:ascii="仿宋" w:hAnsi="仿宋" w:eastAsia="仿宋" w:cs="仿宋"/>
          <w:sz w:val="28"/>
          <w:szCs w:val="28"/>
        </w:rPr>
        <w:t>（二）社会保障和就业支出</w:t>
      </w:r>
      <w:r>
        <w:rPr>
          <w:rFonts w:hint="eastAsia" w:ascii="仿宋_GB2312" w:hAnsi="黑体" w:eastAsia="仿宋_GB2312" w:cs="仿宋_GB2312"/>
          <w:kern w:val="0"/>
          <w:sz w:val="28"/>
          <w:szCs w:val="28"/>
        </w:rPr>
        <w:t>年初预算为25.98万元，支出决算为23.40万元，完成年初预算的90.01 %。主要原因是年初预算时是15个在编人员，预算后调走一名在编人员，导致支出决算数小于年初预算数。</w:t>
      </w:r>
    </w:p>
    <w:p>
      <w:pPr>
        <w:ind w:firstLine="709"/>
        <w:rPr>
          <w:rFonts w:ascii="仿宋" w:hAnsi="仿宋" w:eastAsia="仿宋" w:cs="仿宋"/>
          <w:sz w:val="28"/>
          <w:szCs w:val="28"/>
        </w:rPr>
      </w:pPr>
      <w:r>
        <w:rPr>
          <w:rFonts w:hint="eastAsia" w:ascii="仿宋" w:hAnsi="仿宋" w:eastAsia="仿宋" w:cs="仿宋"/>
          <w:sz w:val="28"/>
          <w:szCs w:val="28"/>
        </w:rPr>
        <w:t>（三）住房保障支出</w:t>
      </w:r>
      <w:r>
        <w:rPr>
          <w:rFonts w:hint="eastAsia" w:ascii="仿宋_GB2312" w:hAnsi="黑体" w:eastAsia="仿宋_GB2312" w:cs="仿宋_GB2312"/>
          <w:kern w:val="0"/>
          <w:sz w:val="28"/>
          <w:szCs w:val="28"/>
        </w:rPr>
        <w:t>年初预算为19.48万元，支出决算为19.96万元，完成年初预算的102 %。主要原因工资有所增加导致</w:t>
      </w:r>
      <w:r>
        <w:rPr>
          <w:rFonts w:hint="eastAsia" w:ascii="仿宋" w:hAnsi="仿宋" w:eastAsia="仿宋" w:cs="仿宋_GB2312"/>
          <w:kern w:val="0"/>
          <w:sz w:val="28"/>
          <w:szCs w:val="28"/>
        </w:rPr>
        <w:t>。</w:t>
      </w:r>
    </w:p>
    <w:p>
      <w:pPr>
        <w:ind w:firstLine="709"/>
        <w:rPr>
          <w:rFonts w:ascii="仿宋" w:hAnsi="仿宋" w:eastAsia="仿宋" w:cs="仿宋_GB2312"/>
          <w:kern w:val="0"/>
          <w:sz w:val="28"/>
          <w:szCs w:val="28"/>
        </w:rPr>
      </w:pPr>
      <w:r>
        <w:rPr>
          <w:rFonts w:hint="eastAsia" w:ascii="仿宋" w:hAnsi="仿宋" w:eastAsia="仿宋" w:cs="仿宋"/>
          <w:sz w:val="28"/>
          <w:szCs w:val="28"/>
        </w:rPr>
        <w:t>（四）卫生健康支出</w:t>
      </w:r>
      <w:r>
        <w:rPr>
          <w:rFonts w:hint="eastAsia" w:ascii="仿宋_GB2312" w:hAnsi="黑体" w:eastAsia="仿宋_GB2312" w:cs="仿宋_GB2312"/>
          <w:kern w:val="0"/>
          <w:sz w:val="28"/>
          <w:szCs w:val="28"/>
        </w:rPr>
        <w:t>年初预算为10.42万元，支出决算为10.16万元，完成年初预算的97.5 %。主要原因是年初预算时是15个在编人员，预算后调走一名在编人员，导致支出决算数小于年初预算数。</w:t>
      </w:r>
    </w:p>
    <w:p>
      <w:pPr>
        <w:autoSpaceDE w:val="0"/>
        <w:autoSpaceDN w:val="0"/>
        <w:adjustRightInd w:val="0"/>
        <w:spacing w:line="560" w:lineRule="exact"/>
        <w:ind w:firstLine="562" w:firstLineChars="200"/>
        <w:jc w:val="left"/>
        <w:rPr>
          <w:rFonts w:ascii="仿宋" w:hAnsi="仿宋" w:eastAsia="仿宋" w:cs="仿宋_GB2312"/>
          <w:b/>
          <w:kern w:val="0"/>
          <w:sz w:val="28"/>
          <w:szCs w:val="28"/>
        </w:rPr>
      </w:pPr>
      <w:r>
        <w:rPr>
          <w:rFonts w:hint="eastAsia" w:ascii="仿宋" w:hAnsi="仿宋" w:eastAsia="仿宋" w:cs="仿宋_GB2312"/>
          <w:b/>
          <w:kern w:val="0"/>
          <w:sz w:val="28"/>
          <w:szCs w:val="28"/>
        </w:rPr>
        <w:t>三、2021年度一般公共预算财政拨款支出决算情况</w:t>
      </w:r>
    </w:p>
    <w:p>
      <w:pPr>
        <w:autoSpaceDE w:val="0"/>
        <w:autoSpaceDN w:val="0"/>
        <w:adjustRightInd w:val="0"/>
        <w:spacing w:line="560" w:lineRule="exact"/>
        <w:ind w:firstLine="560" w:firstLineChars="200"/>
        <w:jc w:val="left"/>
        <w:rPr>
          <w:rFonts w:ascii="仿宋" w:hAnsi="仿宋" w:eastAsia="仿宋" w:cs="仿宋_GB2312"/>
          <w:kern w:val="0"/>
          <w:sz w:val="28"/>
          <w:szCs w:val="28"/>
        </w:rPr>
      </w:pPr>
      <w:r>
        <w:rPr>
          <w:rFonts w:hint="eastAsia" w:ascii="仿宋" w:hAnsi="仿宋" w:eastAsia="仿宋" w:cs="仿宋_GB2312"/>
          <w:kern w:val="0"/>
          <w:sz w:val="28"/>
          <w:szCs w:val="28"/>
        </w:rPr>
        <w:t>2021年度</w:t>
      </w:r>
      <w:r>
        <w:rPr>
          <w:rFonts w:hint="eastAsia" w:ascii="仿宋" w:hAnsi="仿宋" w:eastAsia="仿宋"/>
          <w:sz w:val="28"/>
          <w:szCs w:val="28"/>
        </w:rPr>
        <w:t>一般</w:t>
      </w:r>
      <w:r>
        <w:rPr>
          <w:rFonts w:hint="eastAsia" w:ascii="仿宋" w:hAnsi="仿宋" w:eastAsia="仿宋" w:cs="仿宋_GB2312"/>
          <w:kern w:val="0"/>
          <w:sz w:val="28"/>
          <w:szCs w:val="28"/>
        </w:rPr>
        <w:t>公共预算财政拨款基本支出233.72万元，支出具体情况如下：</w:t>
      </w:r>
    </w:p>
    <w:p>
      <w:pPr>
        <w:autoSpaceDE w:val="0"/>
        <w:autoSpaceDN w:val="0"/>
        <w:adjustRightInd w:val="0"/>
        <w:spacing w:line="560" w:lineRule="exact"/>
        <w:ind w:firstLine="560" w:firstLineChars="200"/>
        <w:jc w:val="left"/>
        <w:rPr>
          <w:rFonts w:ascii="仿宋" w:hAnsi="仿宋" w:eastAsia="仿宋"/>
          <w:bCs/>
          <w:kern w:val="0"/>
          <w:sz w:val="28"/>
          <w:szCs w:val="28"/>
        </w:rPr>
      </w:pPr>
      <w:r>
        <w:rPr>
          <w:rFonts w:hint="eastAsia" w:ascii="仿宋" w:hAnsi="仿宋" w:eastAsia="仿宋"/>
          <w:bCs/>
          <w:kern w:val="0"/>
          <w:sz w:val="28"/>
          <w:szCs w:val="28"/>
        </w:rPr>
        <w:t>（一）</w:t>
      </w:r>
      <w:r>
        <w:rPr>
          <w:rFonts w:hint="eastAsia" w:ascii="仿宋_GB2312" w:eastAsia="仿宋_GB2312"/>
          <w:bCs/>
          <w:kern w:val="0"/>
          <w:sz w:val="32"/>
          <w:szCs w:val="32"/>
        </w:rPr>
        <w:t>工资福利支出223.75万元，完成年初预算的115.74%。预决算差异的主要原因是：一是由于三位同志岗位晋升工资上调；二是发放绩效考核的增量绩效工资</w:t>
      </w:r>
      <w:r>
        <w:rPr>
          <w:rFonts w:hint="eastAsia" w:ascii="仿宋" w:hAnsi="仿宋" w:eastAsia="仿宋"/>
          <w:bCs/>
          <w:kern w:val="0"/>
          <w:sz w:val="28"/>
          <w:szCs w:val="28"/>
        </w:rPr>
        <w:t>。</w:t>
      </w:r>
    </w:p>
    <w:p>
      <w:pPr>
        <w:autoSpaceDE w:val="0"/>
        <w:autoSpaceDN w:val="0"/>
        <w:adjustRightInd w:val="0"/>
        <w:spacing w:line="560" w:lineRule="exact"/>
        <w:ind w:firstLine="560" w:firstLineChars="200"/>
        <w:jc w:val="left"/>
        <w:rPr>
          <w:rFonts w:ascii="仿宋" w:hAnsi="仿宋" w:eastAsia="仿宋"/>
          <w:bCs/>
          <w:kern w:val="0"/>
          <w:sz w:val="28"/>
          <w:szCs w:val="28"/>
        </w:rPr>
      </w:pPr>
      <w:r>
        <w:rPr>
          <w:rFonts w:hint="eastAsia" w:ascii="仿宋" w:hAnsi="仿宋" w:eastAsia="仿宋"/>
          <w:bCs/>
          <w:kern w:val="0"/>
          <w:sz w:val="28"/>
          <w:szCs w:val="28"/>
        </w:rPr>
        <w:t>（二）商品和服务支出为9.67万元</w:t>
      </w:r>
      <w:r>
        <w:rPr>
          <w:rFonts w:hint="eastAsia" w:ascii="仿宋_GB2312" w:eastAsia="仿宋_GB2312"/>
          <w:bCs/>
          <w:kern w:val="0"/>
          <w:sz w:val="32"/>
          <w:szCs w:val="32"/>
        </w:rPr>
        <w:t>，完成年初预算的91.83%。预决算差异的主要原因是：由于疫情原因当年没有发生会议费和公务接待费支出</w:t>
      </w:r>
      <w:r>
        <w:rPr>
          <w:rFonts w:hint="eastAsia" w:ascii="仿宋" w:hAnsi="仿宋" w:eastAsia="仿宋"/>
          <w:bCs/>
          <w:kern w:val="0"/>
          <w:sz w:val="28"/>
          <w:szCs w:val="28"/>
        </w:rPr>
        <w:t>。</w:t>
      </w:r>
    </w:p>
    <w:p>
      <w:pPr>
        <w:autoSpaceDE w:val="0"/>
        <w:autoSpaceDN w:val="0"/>
        <w:adjustRightInd w:val="0"/>
        <w:spacing w:line="560" w:lineRule="exact"/>
        <w:ind w:firstLine="246" w:firstLineChars="88"/>
        <w:jc w:val="left"/>
        <w:rPr>
          <w:rFonts w:ascii="仿宋" w:hAnsi="仿宋" w:eastAsia="仿宋" w:cs="仿宋_GB2312"/>
          <w:kern w:val="0"/>
          <w:sz w:val="28"/>
          <w:szCs w:val="28"/>
        </w:rPr>
      </w:pPr>
      <w:r>
        <w:rPr>
          <w:rFonts w:hint="eastAsia" w:ascii="仿宋" w:hAnsi="仿宋" w:eastAsia="仿宋"/>
          <w:bCs/>
          <w:kern w:val="0"/>
          <w:sz w:val="28"/>
          <w:szCs w:val="28"/>
        </w:rPr>
        <w:t xml:space="preserve">  （三）对个人和家庭补助决算支出数为0.30万元</w:t>
      </w:r>
      <w:r>
        <w:rPr>
          <w:rFonts w:hint="eastAsia" w:ascii="仿宋_GB2312" w:eastAsia="仿宋_GB2312"/>
          <w:bCs/>
          <w:kern w:val="0"/>
          <w:sz w:val="32"/>
          <w:szCs w:val="32"/>
        </w:rPr>
        <w:t>，完成年初预算的100%。</w:t>
      </w:r>
    </w:p>
    <w:p>
      <w:pPr>
        <w:autoSpaceDE w:val="0"/>
        <w:autoSpaceDN w:val="0"/>
        <w:adjustRightInd w:val="0"/>
        <w:spacing w:line="560" w:lineRule="exact"/>
        <w:ind w:firstLine="562" w:firstLineChars="200"/>
        <w:jc w:val="left"/>
        <w:rPr>
          <w:rFonts w:ascii="仿宋" w:hAnsi="仿宋" w:eastAsia="仿宋" w:cs="仿宋_GB2312"/>
          <w:b/>
          <w:kern w:val="0"/>
          <w:sz w:val="28"/>
          <w:szCs w:val="28"/>
        </w:rPr>
      </w:pPr>
      <w:r>
        <w:rPr>
          <w:rFonts w:hint="eastAsia" w:ascii="仿宋" w:hAnsi="仿宋" w:eastAsia="仿宋" w:cs="仿宋_GB2312"/>
          <w:b/>
          <w:kern w:val="0"/>
          <w:sz w:val="28"/>
          <w:szCs w:val="28"/>
        </w:rPr>
        <w:t>四、2021年度政府性基金支出决算情况</w:t>
      </w:r>
    </w:p>
    <w:p>
      <w:pPr>
        <w:autoSpaceDE w:val="0"/>
        <w:autoSpaceDN w:val="0"/>
        <w:adjustRightInd w:val="0"/>
        <w:spacing w:line="560" w:lineRule="exact"/>
        <w:ind w:firstLine="560" w:firstLineChars="200"/>
        <w:jc w:val="left"/>
        <w:rPr>
          <w:rFonts w:ascii="仿宋_GB2312" w:eastAsia="仿宋_GB2312" w:cs="仿宋_GB2312"/>
          <w:kern w:val="0"/>
          <w:sz w:val="32"/>
          <w:szCs w:val="32"/>
        </w:rPr>
      </w:pPr>
      <w:r>
        <w:rPr>
          <w:rFonts w:ascii="仿宋" w:hAnsi="仿宋" w:eastAsia="仿宋"/>
          <w:sz w:val="28"/>
          <w:szCs w:val="28"/>
        </w:rPr>
        <w:t>防城港市公共资源交易中心202</w:t>
      </w:r>
      <w:r>
        <w:rPr>
          <w:rFonts w:hint="eastAsia" w:ascii="仿宋" w:hAnsi="仿宋" w:eastAsia="仿宋"/>
          <w:sz w:val="28"/>
          <w:szCs w:val="28"/>
        </w:rPr>
        <w:t>1年度</w:t>
      </w:r>
      <w:r>
        <w:rPr>
          <w:rFonts w:hint="eastAsia" w:ascii="仿宋_GB2312" w:eastAsia="仿宋_GB2312" w:cs="仿宋_GB2312"/>
          <w:kern w:val="0"/>
          <w:sz w:val="32"/>
          <w:szCs w:val="32"/>
        </w:rPr>
        <w:t>政府性基金支出</w:t>
      </w:r>
      <w:r>
        <w:rPr>
          <w:rFonts w:hint="eastAsia" w:ascii="仿宋_GB2312" w:eastAsia="仿宋_GB2312"/>
          <w:kern w:val="0"/>
          <w:sz w:val="32"/>
          <w:szCs w:val="32"/>
        </w:rPr>
        <w:t>0.00</w:t>
      </w:r>
      <w:r>
        <w:rPr>
          <w:rFonts w:hint="eastAsia" w:ascii="仿宋_GB2312" w:eastAsia="仿宋_GB2312" w:cs="仿宋_GB2312"/>
          <w:kern w:val="0"/>
          <w:sz w:val="32"/>
          <w:szCs w:val="32"/>
        </w:rPr>
        <w:t>万元，</w:t>
      </w:r>
      <w:r>
        <w:rPr>
          <w:rFonts w:hint="eastAsia" w:ascii="仿宋_GB2312" w:hAnsi="黑体" w:eastAsia="仿宋_GB2312" w:cs="仿宋_GB2312"/>
          <w:kern w:val="0"/>
          <w:sz w:val="32"/>
          <w:szCs w:val="32"/>
        </w:rPr>
        <w:t>较2020年度决算数增加（减少） 0.00 万元，增长（下降）0.00%。</w:t>
      </w:r>
      <w:r>
        <w:rPr>
          <w:rFonts w:hint="eastAsia" w:ascii="仿宋_GB2312" w:eastAsia="仿宋_GB2312" w:cs="仿宋_GB2312"/>
          <w:kern w:val="0"/>
          <w:sz w:val="32"/>
          <w:szCs w:val="32"/>
        </w:rPr>
        <w:t>其中：基本支出</w:t>
      </w:r>
      <w:r>
        <w:rPr>
          <w:rFonts w:hint="eastAsia" w:ascii="仿宋_GB2312" w:eastAsia="仿宋_GB2312"/>
          <w:kern w:val="0"/>
          <w:sz w:val="32"/>
          <w:szCs w:val="32"/>
        </w:rPr>
        <w:t xml:space="preserve"> 0.00 </w:t>
      </w:r>
      <w:r>
        <w:rPr>
          <w:rFonts w:hint="eastAsia" w:ascii="仿宋_GB2312" w:eastAsia="仿宋_GB2312" w:cs="仿宋_GB2312"/>
          <w:kern w:val="0"/>
          <w:sz w:val="32"/>
          <w:szCs w:val="32"/>
        </w:rPr>
        <w:t>万元，项目支出</w:t>
      </w:r>
      <w:r>
        <w:rPr>
          <w:rFonts w:hint="eastAsia" w:ascii="仿宋_GB2312" w:eastAsia="仿宋_GB2312"/>
          <w:kern w:val="0"/>
          <w:sz w:val="32"/>
          <w:szCs w:val="32"/>
        </w:rPr>
        <w:t>0.00</w:t>
      </w:r>
      <w:r>
        <w:rPr>
          <w:rFonts w:hint="eastAsia" w:ascii="仿宋_GB2312" w:eastAsia="仿宋_GB2312" w:cs="仿宋_GB2312"/>
          <w:kern w:val="0"/>
          <w:sz w:val="32"/>
          <w:szCs w:val="32"/>
        </w:rPr>
        <w:t>万元。</w:t>
      </w:r>
    </w:p>
    <w:p>
      <w:pPr>
        <w:autoSpaceDE w:val="0"/>
        <w:autoSpaceDN w:val="0"/>
        <w:adjustRightInd w:val="0"/>
        <w:spacing w:line="560" w:lineRule="exact"/>
        <w:ind w:firstLine="560" w:firstLineChars="200"/>
        <w:jc w:val="left"/>
        <w:rPr>
          <w:rFonts w:ascii="仿宋_GB2312" w:eastAsia="仿宋_GB2312" w:cs="仿宋_GB2312"/>
          <w:kern w:val="0"/>
          <w:sz w:val="32"/>
          <w:szCs w:val="32"/>
        </w:rPr>
      </w:pPr>
      <w:r>
        <w:rPr>
          <w:rFonts w:ascii="仿宋" w:hAnsi="仿宋" w:eastAsia="仿宋"/>
          <w:sz w:val="28"/>
          <w:szCs w:val="28"/>
        </w:rPr>
        <w:t>防城港市公共资源交易中心</w:t>
      </w:r>
      <w:r>
        <w:rPr>
          <w:rFonts w:hint="eastAsia" w:ascii="仿宋_GB2312" w:hAnsi="黑体" w:eastAsia="仿宋_GB2312"/>
          <w:kern w:val="0"/>
          <w:sz w:val="32"/>
          <w:szCs w:val="32"/>
        </w:rPr>
        <w:t xml:space="preserve">2021 </w:t>
      </w:r>
      <w:r>
        <w:rPr>
          <w:rFonts w:hint="eastAsia" w:ascii="仿宋_GB2312" w:hAnsi="黑体" w:eastAsia="仿宋_GB2312" w:cs="仿宋_GB2312"/>
          <w:kern w:val="0"/>
          <w:sz w:val="32"/>
          <w:szCs w:val="32"/>
        </w:rPr>
        <w:t>年度政府性基金支出年初预算为 0.00万元，支出决算为0.00万元，完成年初预算的0%。</w:t>
      </w:r>
    </w:p>
    <w:p>
      <w:pPr>
        <w:autoSpaceDE w:val="0"/>
        <w:autoSpaceDN w:val="0"/>
        <w:adjustRightInd w:val="0"/>
        <w:spacing w:line="560" w:lineRule="exact"/>
        <w:ind w:firstLine="560" w:firstLineChars="200"/>
        <w:jc w:val="left"/>
        <w:rPr>
          <w:rFonts w:ascii="仿宋" w:hAnsi="仿宋" w:eastAsia="仿宋"/>
          <w:sz w:val="28"/>
          <w:szCs w:val="28"/>
        </w:rPr>
      </w:pPr>
    </w:p>
    <w:p>
      <w:pPr>
        <w:autoSpaceDE w:val="0"/>
        <w:autoSpaceDN w:val="0"/>
        <w:adjustRightInd w:val="0"/>
        <w:spacing w:line="560" w:lineRule="exact"/>
        <w:ind w:firstLine="562" w:firstLineChars="200"/>
        <w:jc w:val="left"/>
        <w:rPr>
          <w:rFonts w:ascii="仿宋" w:hAnsi="仿宋" w:eastAsia="仿宋" w:cs="仿宋_GB2312"/>
          <w:b/>
          <w:kern w:val="0"/>
          <w:sz w:val="28"/>
          <w:szCs w:val="28"/>
        </w:rPr>
      </w:pPr>
      <w:r>
        <w:rPr>
          <w:rFonts w:hint="eastAsia" w:ascii="仿宋" w:hAnsi="仿宋" w:eastAsia="仿宋" w:cs="仿宋_GB2312"/>
          <w:b/>
          <w:kern w:val="0"/>
          <w:sz w:val="28"/>
          <w:szCs w:val="28"/>
        </w:rPr>
        <w:t>五、2021年度国有资本经营预算支出决算情况</w:t>
      </w:r>
    </w:p>
    <w:p>
      <w:pPr>
        <w:autoSpaceDE w:val="0"/>
        <w:autoSpaceDN w:val="0"/>
        <w:adjustRightInd w:val="0"/>
        <w:spacing w:line="560" w:lineRule="exact"/>
        <w:ind w:firstLine="560" w:firstLineChars="200"/>
        <w:jc w:val="left"/>
        <w:rPr>
          <w:rFonts w:ascii="仿宋_GB2312" w:eastAsia="仿宋_GB2312" w:cs="仿宋_GB2312"/>
          <w:kern w:val="0"/>
          <w:sz w:val="32"/>
          <w:szCs w:val="32"/>
        </w:rPr>
      </w:pPr>
      <w:r>
        <w:rPr>
          <w:rFonts w:ascii="仿宋" w:hAnsi="仿宋" w:eastAsia="仿宋"/>
          <w:sz w:val="28"/>
          <w:szCs w:val="28"/>
        </w:rPr>
        <w:t>防城港市公共资源交易中心</w:t>
      </w:r>
      <w:r>
        <w:rPr>
          <w:rFonts w:hint="eastAsia" w:ascii="仿宋_GB2312" w:eastAsia="仿宋_GB2312"/>
          <w:kern w:val="0"/>
          <w:sz w:val="32"/>
          <w:szCs w:val="32"/>
        </w:rPr>
        <w:t>2021</w:t>
      </w:r>
      <w:r>
        <w:rPr>
          <w:rFonts w:hint="eastAsia" w:ascii="仿宋_GB2312" w:eastAsia="仿宋_GB2312" w:cs="仿宋_GB2312"/>
          <w:kern w:val="0"/>
          <w:sz w:val="32"/>
          <w:szCs w:val="32"/>
        </w:rPr>
        <w:t>年度国有资本经营预算支出</w:t>
      </w:r>
      <w:r>
        <w:rPr>
          <w:rFonts w:hint="eastAsia" w:ascii="仿宋_GB2312" w:eastAsia="仿宋_GB2312"/>
          <w:kern w:val="0"/>
          <w:sz w:val="32"/>
          <w:szCs w:val="32"/>
        </w:rPr>
        <w:t xml:space="preserve"> 0.00</w:t>
      </w:r>
      <w:r>
        <w:rPr>
          <w:rFonts w:hint="eastAsia" w:ascii="仿宋_GB2312" w:eastAsia="仿宋_GB2312" w:cs="仿宋_GB2312"/>
          <w:kern w:val="0"/>
          <w:sz w:val="32"/>
          <w:szCs w:val="32"/>
        </w:rPr>
        <w:t>万元</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其中：基本支出</w:t>
      </w:r>
      <w:r>
        <w:rPr>
          <w:rFonts w:hint="eastAsia" w:ascii="仿宋_GB2312" w:eastAsia="仿宋_GB2312"/>
          <w:kern w:val="0"/>
          <w:sz w:val="32"/>
          <w:szCs w:val="32"/>
        </w:rPr>
        <w:t>0.00</w:t>
      </w:r>
      <w:r>
        <w:rPr>
          <w:rFonts w:hint="eastAsia" w:ascii="仿宋_GB2312" w:eastAsia="仿宋_GB2312" w:cs="仿宋_GB2312"/>
          <w:kern w:val="0"/>
          <w:sz w:val="32"/>
          <w:szCs w:val="32"/>
        </w:rPr>
        <w:t>万元，项目支出</w:t>
      </w:r>
      <w:r>
        <w:rPr>
          <w:rFonts w:hint="eastAsia" w:ascii="仿宋_GB2312" w:eastAsia="仿宋_GB2312"/>
          <w:kern w:val="0"/>
          <w:sz w:val="32"/>
          <w:szCs w:val="32"/>
        </w:rPr>
        <w:t>0.00</w:t>
      </w:r>
      <w:r>
        <w:rPr>
          <w:rFonts w:hint="eastAsia" w:ascii="仿宋_GB2312" w:eastAsia="仿宋_GB2312" w:cs="仿宋_GB2312"/>
          <w:kern w:val="0"/>
          <w:sz w:val="32"/>
          <w:szCs w:val="32"/>
        </w:rPr>
        <w:t>万元。</w:t>
      </w:r>
    </w:p>
    <w:p>
      <w:pPr>
        <w:autoSpaceDE w:val="0"/>
        <w:autoSpaceDN w:val="0"/>
        <w:adjustRightInd w:val="0"/>
        <w:spacing w:line="560" w:lineRule="exact"/>
        <w:ind w:firstLine="560" w:firstLineChars="200"/>
        <w:jc w:val="left"/>
        <w:rPr>
          <w:rFonts w:ascii="仿宋_GB2312" w:eastAsia="仿宋_GB2312" w:cs="仿宋_GB2312"/>
          <w:kern w:val="0"/>
          <w:sz w:val="32"/>
          <w:szCs w:val="32"/>
        </w:rPr>
      </w:pPr>
      <w:r>
        <w:rPr>
          <w:rFonts w:ascii="仿宋" w:hAnsi="仿宋" w:eastAsia="仿宋"/>
          <w:sz w:val="28"/>
          <w:szCs w:val="28"/>
        </w:rPr>
        <w:t>防城港市公共资源交易中心</w:t>
      </w:r>
      <w:r>
        <w:rPr>
          <w:rFonts w:hint="eastAsia" w:ascii="仿宋_GB2312" w:hAnsi="黑体" w:eastAsia="仿宋_GB2312"/>
          <w:kern w:val="0"/>
          <w:sz w:val="32"/>
          <w:szCs w:val="32"/>
        </w:rPr>
        <w:t>2021</w:t>
      </w:r>
      <w:r>
        <w:rPr>
          <w:rFonts w:hint="eastAsia" w:ascii="仿宋_GB2312" w:hAnsi="黑体" w:eastAsia="仿宋_GB2312" w:cs="仿宋_GB2312"/>
          <w:kern w:val="0"/>
          <w:sz w:val="32"/>
          <w:szCs w:val="32"/>
        </w:rPr>
        <w:t>年度</w:t>
      </w:r>
      <w:r>
        <w:rPr>
          <w:rFonts w:hint="eastAsia" w:ascii="仿宋_GB2312" w:eastAsia="仿宋_GB2312" w:cs="仿宋_GB2312"/>
          <w:kern w:val="0"/>
          <w:sz w:val="32"/>
          <w:szCs w:val="32"/>
        </w:rPr>
        <w:t>国有资本经营预算</w:t>
      </w:r>
      <w:r>
        <w:rPr>
          <w:rFonts w:hint="eastAsia" w:ascii="仿宋_GB2312" w:hAnsi="黑体" w:eastAsia="仿宋_GB2312" w:cs="仿宋_GB2312"/>
          <w:kern w:val="0"/>
          <w:sz w:val="32"/>
          <w:szCs w:val="32"/>
        </w:rPr>
        <w:t>支出年初预算为0.00万元，支出决算为0.00万元，完成年初预算的0.00%。</w:t>
      </w:r>
    </w:p>
    <w:p>
      <w:pPr>
        <w:autoSpaceDE w:val="0"/>
        <w:autoSpaceDN w:val="0"/>
        <w:adjustRightInd w:val="0"/>
        <w:spacing w:line="560" w:lineRule="exact"/>
        <w:ind w:firstLine="562" w:firstLineChars="200"/>
        <w:jc w:val="left"/>
        <w:rPr>
          <w:rFonts w:ascii="仿宋" w:hAnsi="仿宋" w:eastAsia="仿宋" w:cs="仿宋_GB2312"/>
          <w:b/>
          <w:kern w:val="0"/>
          <w:sz w:val="28"/>
          <w:szCs w:val="28"/>
        </w:rPr>
      </w:pPr>
      <w:r>
        <w:rPr>
          <w:rFonts w:hint="eastAsia" w:ascii="仿宋" w:hAnsi="仿宋" w:eastAsia="仿宋" w:cs="仿宋_GB2312"/>
          <w:b/>
          <w:kern w:val="0"/>
          <w:sz w:val="28"/>
          <w:szCs w:val="28"/>
        </w:rPr>
        <w:t>六、</w:t>
      </w:r>
      <w:r>
        <w:rPr>
          <w:rFonts w:hint="eastAsia" w:ascii="仿宋" w:hAnsi="仿宋" w:eastAsia="仿宋"/>
          <w:b/>
          <w:sz w:val="28"/>
          <w:szCs w:val="28"/>
        </w:rPr>
        <w:t>一般</w:t>
      </w:r>
      <w:r>
        <w:rPr>
          <w:rFonts w:hint="eastAsia" w:ascii="仿宋" w:hAnsi="仿宋" w:eastAsia="仿宋" w:cs="仿宋_GB2312"/>
          <w:b/>
          <w:kern w:val="0"/>
          <w:sz w:val="28"/>
          <w:szCs w:val="28"/>
        </w:rPr>
        <w:t>公共预算财政拨款安排的“三公”经费支出决算情况说明。</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2021年度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公共预算财政拨款安排的“三公”经费支出 0.09万元，完成年初预算的12.4%，比上年减少 0.12万元，主要原因是疫情影响,相互参观交流学习的次数减少</w:t>
      </w:r>
      <w:r>
        <w:rPr>
          <w:rFonts w:hint="eastAsia" w:ascii="仿宋" w:hAnsi="仿宋" w:eastAsia="仿宋"/>
          <w:bCs/>
          <w:kern w:val="0"/>
          <w:sz w:val="28"/>
          <w:szCs w:val="28"/>
        </w:rPr>
        <w:t>。</w:t>
      </w:r>
      <w:r>
        <w:rPr>
          <w:rFonts w:hint="eastAsia" w:ascii="仿宋_GB2312" w:eastAsia="仿宋_GB2312" w:cs="仿宋_GB2312"/>
          <w:kern w:val="0"/>
          <w:sz w:val="32"/>
          <w:szCs w:val="32"/>
        </w:rPr>
        <w:t>其中：因公出国（境）费支出决算0.00万元，公务用车购置及运行费支出决算 0.00万元，公务接待费支出决算0.09万元。</w:t>
      </w:r>
    </w:p>
    <w:p>
      <w:pPr>
        <w:autoSpaceDE w:val="0"/>
        <w:autoSpaceDN w:val="0"/>
        <w:adjustRightInd w:val="0"/>
        <w:spacing w:line="560" w:lineRule="exact"/>
        <w:ind w:firstLine="640" w:firstLineChars="200"/>
        <w:jc w:val="left"/>
        <w:rPr>
          <w:rFonts w:ascii="仿宋" w:hAnsi="仿宋" w:eastAsia="仿宋" w:cs="仿宋_GB2312"/>
          <w:kern w:val="0"/>
          <w:sz w:val="28"/>
          <w:szCs w:val="28"/>
        </w:rPr>
      </w:pPr>
      <w:r>
        <w:rPr>
          <w:rFonts w:hint="eastAsia" w:ascii="仿宋_GB2312" w:eastAsia="仿宋_GB2312" w:cs="仿宋_GB2312"/>
          <w:kern w:val="0"/>
          <w:sz w:val="32"/>
          <w:szCs w:val="32"/>
        </w:rPr>
        <w:t>具体情况如下：</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（一）因公出国（境）费支出 0.00万元，完成年初预算的0.00 %，比上年增减（减少）0.00万元，原因是无。</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（二）公务用车购置及运行费支出 0.00万元。其中：</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公务用车购置支出0.00万元，完成年初预算的0%，比上年增减（减少）0.00万元，原因是本单位没有公务车，也没有购置公车。</w:t>
      </w:r>
    </w:p>
    <w:p>
      <w:pPr>
        <w:autoSpaceDE w:val="0"/>
        <w:autoSpaceDN w:val="0"/>
        <w:adjustRightInd w:val="0"/>
        <w:spacing w:line="560" w:lineRule="exact"/>
        <w:ind w:firstLine="640" w:firstLineChars="200"/>
        <w:jc w:val="left"/>
        <w:rPr>
          <w:rFonts w:ascii="仿宋" w:hAnsi="仿宋" w:eastAsia="仿宋" w:cs="仿宋_GB2312"/>
          <w:kern w:val="0"/>
          <w:sz w:val="28"/>
          <w:szCs w:val="28"/>
        </w:rPr>
      </w:pPr>
      <w:r>
        <w:rPr>
          <w:rFonts w:hint="eastAsia" w:ascii="仿宋_GB2312" w:eastAsia="仿宋_GB2312" w:cs="仿宋_GB2312"/>
          <w:kern w:val="0"/>
          <w:sz w:val="32"/>
          <w:szCs w:val="32"/>
        </w:rPr>
        <w:t>（三）公务接待费支出0.09万元，完成年初预算的12.4%， 比上年减少0.12万元，原因是疫情影响,相互参观交流学习的次数减少。国内公务接待批次1次，人次3人，国（境）外公务接待批次 0次，人次0 人。其中：一次是接待自治区公共资源交易中心调验团。</w:t>
      </w:r>
    </w:p>
    <w:p>
      <w:pPr>
        <w:autoSpaceDE w:val="0"/>
        <w:autoSpaceDN w:val="0"/>
        <w:adjustRightInd w:val="0"/>
        <w:spacing w:line="560" w:lineRule="exact"/>
        <w:ind w:firstLine="562" w:firstLineChars="200"/>
        <w:jc w:val="left"/>
        <w:rPr>
          <w:rFonts w:ascii="仿宋" w:hAnsi="仿宋" w:eastAsia="仿宋" w:cs="仿宋_GB2312"/>
          <w:b/>
          <w:kern w:val="0"/>
          <w:sz w:val="28"/>
          <w:szCs w:val="28"/>
        </w:rPr>
      </w:pPr>
      <w:r>
        <w:rPr>
          <w:rFonts w:hint="eastAsia" w:ascii="仿宋" w:hAnsi="仿宋" w:eastAsia="仿宋" w:cs="仿宋_GB2312"/>
          <w:b/>
          <w:kern w:val="0"/>
          <w:sz w:val="28"/>
          <w:szCs w:val="28"/>
        </w:rPr>
        <w:t>七、其他重要事项情况说明。</w:t>
      </w:r>
    </w:p>
    <w:p>
      <w:pPr>
        <w:autoSpaceDE w:val="0"/>
        <w:autoSpaceDN w:val="0"/>
        <w:adjustRightInd w:val="0"/>
        <w:spacing w:line="560" w:lineRule="exact"/>
        <w:ind w:firstLine="562" w:firstLineChars="200"/>
        <w:jc w:val="left"/>
        <w:rPr>
          <w:rFonts w:ascii="仿宋" w:hAnsi="仿宋" w:eastAsia="仿宋" w:cs="仿宋_GB2312"/>
          <w:b/>
          <w:kern w:val="0"/>
          <w:sz w:val="28"/>
          <w:szCs w:val="28"/>
        </w:rPr>
      </w:pPr>
      <w:r>
        <w:rPr>
          <w:rFonts w:hint="eastAsia" w:ascii="仿宋" w:hAnsi="仿宋" w:eastAsia="仿宋" w:cs="仿宋_GB2312"/>
          <w:b/>
          <w:kern w:val="0"/>
          <w:sz w:val="28"/>
          <w:szCs w:val="28"/>
        </w:rPr>
        <w:t>（一）</w:t>
      </w:r>
      <w:r>
        <w:rPr>
          <w:rFonts w:hint="eastAsia" w:ascii="仿宋" w:hAnsi="仿宋" w:eastAsia="仿宋"/>
          <w:b/>
          <w:sz w:val="28"/>
          <w:szCs w:val="28"/>
        </w:rPr>
        <w:t xml:space="preserve"> </w:t>
      </w:r>
      <w:r>
        <w:rPr>
          <w:rFonts w:hint="eastAsia" w:ascii="仿宋" w:hAnsi="仿宋" w:eastAsia="仿宋" w:cs="仿宋_GB2312"/>
          <w:b/>
          <w:kern w:val="0"/>
          <w:sz w:val="28"/>
          <w:szCs w:val="28"/>
        </w:rPr>
        <w:t>机关运行经费支出情况说明。</w:t>
      </w:r>
    </w:p>
    <w:p>
      <w:pPr>
        <w:autoSpaceDE w:val="0"/>
        <w:autoSpaceDN w:val="0"/>
        <w:adjustRightInd w:val="0"/>
        <w:spacing w:line="560" w:lineRule="exact"/>
        <w:ind w:firstLine="560" w:firstLineChars="200"/>
        <w:jc w:val="left"/>
        <w:rPr>
          <w:rFonts w:ascii="仿宋" w:hAnsi="仿宋" w:eastAsia="仿宋" w:cs="仿宋_GB2312"/>
          <w:kern w:val="0"/>
          <w:sz w:val="28"/>
          <w:szCs w:val="28"/>
        </w:rPr>
      </w:pPr>
      <w:r>
        <w:rPr>
          <w:rFonts w:hint="eastAsia" w:ascii="仿宋" w:hAnsi="仿宋" w:eastAsia="仿宋" w:cs="仿宋_GB2312"/>
          <w:kern w:val="0"/>
          <w:sz w:val="28"/>
          <w:szCs w:val="28"/>
        </w:rPr>
        <w:t>2021年</w:t>
      </w:r>
      <w:r>
        <w:rPr>
          <w:rFonts w:hint="eastAsia" w:ascii="仿宋_GB2312" w:eastAsia="仿宋_GB2312" w:cs="仿宋_GB2312"/>
          <w:b/>
          <w:kern w:val="0"/>
          <w:sz w:val="32"/>
          <w:szCs w:val="32"/>
        </w:rPr>
        <w:t>本部门无机关运行经费支出</w:t>
      </w:r>
      <w:r>
        <w:rPr>
          <w:rFonts w:hint="eastAsia" w:ascii="仿宋" w:hAnsi="仿宋" w:eastAsia="仿宋" w:cs="仿宋_GB2312"/>
          <w:kern w:val="0"/>
          <w:sz w:val="28"/>
          <w:szCs w:val="28"/>
        </w:rPr>
        <w:t>。</w:t>
      </w:r>
    </w:p>
    <w:p>
      <w:pPr>
        <w:autoSpaceDE w:val="0"/>
        <w:autoSpaceDN w:val="0"/>
        <w:adjustRightInd w:val="0"/>
        <w:spacing w:line="560" w:lineRule="exact"/>
        <w:ind w:firstLine="562" w:firstLineChars="200"/>
        <w:jc w:val="left"/>
        <w:rPr>
          <w:rFonts w:ascii="仿宋" w:hAnsi="仿宋" w:eastAsia="仿宋" w:cs="仿宋_GB2312"/>
          <w:b/>
          <w:kern w:val="0"/>
          <w:sz w:val="28"/>
          <w:szCs w:val="28"/>
        </w:rPr>
      </w:pPr>
      <w:r>
        <w:rPr>
          <w:rFonts w:hint="eastAsia" w:ascii="仿宋" w:hAnsi="仿宋" w:eastAsia="仿宋" w:cs="仿宋_GB2312"/>
          <w:b/>
          <w:kern w:val="0"/>
          <w:sz w:val="28"/>
          <w:szCs w:val="28"/>
        </w:rPr>
        <w:t>（二）政府采购支出情况说明。</w:t>
      </w:r>
    </w:p>
    <w:p>
      <w:pPr>
        <w:autoSpaceDE w:val="0"/>
        <w:autoSpaceDN w:val="0"/>
        <w:adjustRightInd w:val="0"/>
        <w:spacing w:line="560" w:lineRule="exact"/>
        <w:ind w:firstLine="560" w:firstLineChars="200"/>
        <w:jc w:val="left"/>
        <w:rPr>
          <w:rFonts w:ascii="仿宋" w:hAnsi="仿宋" w:eastAsia="仿宋" w:cs="仿宋_GB2312"/>
          <w:kern w:val="0"/>
          <w:sz w:val="28"/>
          <w:szCs w:val="28"/>
        </w:rPr>
      </w:pPr>
      <w:r>
        <w:rPr>
          <w:rFonts w:hint="eastAsia" w:ascii="仿宋" w:hAnsi="仿宋" w:eastAsia="仿宋" w:cs="仿宋_GB2312"/>
          <w:kern w:val="0"/>
          <w:sz w:val="28"/>
          <w:szCs w:val="28"/>
        </w:rPr>
        <w:t>2021年本部门政府采购支出总额59.61万元，其中：政府采购货物支出35.43万元、政府采购工程支出0万元、政府采购服务支出24.18万元。</w:t>
      </w:r>
    </w:p>
    <w:p>
      <w:pPr>
        <w:autoSpaceDE w:val="0"/>
        <w:autoSpaceDN w:val="0"/>
        <w:adjustRightInd w:val="0"/>
        <w:spacing w:line="560" w:lineRule="exact"/>
        <w:ind w:firstLine="562" w:firstLineChars="200"/>
        <w:jc w:val="left"/>
        <w:rPr>
          <w:rFonts w:ascii="仿宋" w:hAnsi="仿宋" w:eastAsia="仿宋" w:cs="仿宋_GB2312"/>
          <w:b/>
          <w:kern w:val="0"/>
          <w:sz w:val="28"/>
          <w:szCs w:val="28"/>
        </w:rPr>
      </w:pPr>
      <w:r>
        <w:rPr>
          <w:rFonts w:hint="eastAsia" w:ascii="仿宋" w:hAnsi="仿宋" w:eastAsia="仿宋" w:cs="仿宋_GB2312"/>
          <w:b/>
          <w:kern w:val="0"/>
          <w:sz w:val="28"/>
          <w:szCs w:val="28"/>
        </w:rPr>
        <w:t>（三）国有资产占用情况说明。</w:t>
      </w:r>
    </w:p>
    <w:p>
      <w:pPr>
        <w:autoSpaceDE w:val="0"/>
        <w:autoSpaceDN w:val="0"/>
        <w:adjustRightInd w:val="0"/>
        <w:spacing w:line="560" w:lineRule="exact"/>
        <w:ind w:firstLine="560" w:firstLineChars="200"/>
        <w:jc w:val="left"/>
        <w:rPr>
          <w:rFonts w:ascii="仿宋" w:hAnsi="仿宋" w:eastAsia="仿宋" w:cs="仿宋_GB2312"/>
          <w:kern w:val="0"/>
          <w:sz w:val="28"/>
          <w:szCs w:val="28"/>
        </w:rPr>
      </w:pPr>
      <w:r>
        <w:rPr>
          <w:rFonts w:hint="eastAsia" w:ascii="仿宋" w:hAnsi="仿宋" w:eastAsia="仿宋" w:cs="仿宋_GB2312"/>
          <w:kern w:val="0"/>
          <w:sz w:val="28"/>
          <w:szCs w:val="28"/>
        </w:rPr>
        <w:t>截至2021年12月31日，本部门一般公务用车0辆；单位价值50万元以上通用设备0台（套），100万元以上专用设备0台（套）。</w:t>
      </w:r>
    </w:p>
    <w:p>
      <w:pPr>
        <w:autoSpaceDE w:val="0"/>
        <w:autoSpaceDN w:val="0"/>
        <w:adjustRightInd w:val="0"/>
        <w:spacing w:line="560" w:lineRule="exact"/>
        <w:ind w:firstLine="562" w:firstLineChars="200"/>
        <w:jc w:val="left"/>
        <w:rPr>
          <w:rFonts w:ascii="仿宋" w:hAnsi="仿宋" w:eastAsia="仿宋" w:cs="仿宋_GB2312"/>
          <w:b/>
          <w:kern w:val="0"/>
          <w:sz w:val="28"/>
          <w:szCs w:val="28"/>
        </w:rPr>
      </w:pPr>
      <w:r>
        <w:rPr>
          <w:rFonts w:hint="eastAsia" w:ascii="仿宋" w:hAnsi="仿宋" w:eastAsia="仿宋" w:cs="仿宋_GB2312"/>
          <w:b/>
          <w:kern w:val="0"/>
          <w:sz w:val="28"/>
          <w:szCs w:val="28"/>
        </w:rPr>
        <w:t>（四）预算绩效管理工作开展情况。</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1.绩效管理工作开展情况。</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根据财政预算管理要求，我部门组织对2021年度一般公共预算项目支出全面开展绩效自评。共涉及资金133.97万元，占一般公共预算项目支出总额的100%。组织对2021年度0个政府性基金预算项目支出开展绩效自评，共涉及资金0万元，占政府性基金预算项目支出总额的0 %。</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共组织对“公共资源交易平台系统维护费”等1个项目进行了部门评价，涉及一般公共预算支出20万元，政府性基金预算支出0.00 万元。</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2.部门决算中项目绩效自评结果（如有）。</w:t>
      </w:r>
    </w:p>
    <w:p>
      <w:pPr>
        <w:spacing w:line="560" w:lineRule="exact"/>
        <w:ind w:firstLine="640" w:firstLineChars="200"/>
        <w:rPr>
          <w:rFonts w:ascii="仿宋_GB2312" w:eastAsia="仿宋_GB2312"/>
          <w:b/>
          <w:sz w:val="32"/>
          <w:szCs w:val="32"/>
        </w:rPr>
      </w:pPr>
      <w:r>
        <w:rPr>
          <w:rFonts w:hint="eastAsia" w:ascii="仿宋_GB2312" w:eastAsia="仿宋_GB2312" w:cs="仿宋_GB2312"/>
          <w:kern w:val="0"/>
          <w:sz w:val="32"/>
          <w:szCs w:val="32"/>
        </w:rPr>
        <w:t>我部门根据年初设定的绩效目标，公共资源交易平台系统维护费项目自评得分为84分。发现的主要问题及原因：</w:t>
      </w:r>
      <w:r>
        <w:rPr>
          <w:rFonts w:hint="eastAsia" w:ascii="仿宋_GB2312" w:eastAsia="仿宋_GB2312"/>
          <w:color w:val="000000"/>
          <w:sz w:val="32"/>
          <w:szCs w:val="32"/>
        </w:rPr>
        <w:t>自治区层面牵头项目较为缓慢，导致项目经费预算申请困难。</w:t>
      </w:r>
    </w:p>
    <w:p>
      <w:pPr>
        <w:spacing w:line="560" w:lineRule="exact"/>
        <w:ind w:firstLine="611" w:firstLineChars="191"/>
        <w:rPr>
          <w:rFonts w:ascii="仿宋_GB2312" w:eastAsia="仿宋_GB2312"/>
          <w:sz w:val="32"/>
          <w:szCs w:val="32"/>
        </w:rPr>
      </w:pPr>
      <w:r>
        <w:rPr>
          <w:rFonts w:hint="eastAsia" w:ascii="仿宋_GB2312" w:eastAsia="仿宋_GB2312" w:cs="仿宋_GB2312"/>
          <w:kern w:val="0"/>
          <w:sz w:val="32"/>
          <w:szCs w:val="32"/>
        </w:rPr>
        <w:t>下一步改进措施：</w:t>
      </w:r>
      <w:r>
        <w:rPr>
          <w:rFonts w:hint="eastAsia" w:ascii="仿宋_GB2312" w:eastAsia="仿宋_GB2312"/>
          <w:sz w:val="32"/>
          <w:szCs w:val="32"/>
        </w:rPr>
        <w:t>能根据自治区出台的相关政策文件的要求，可以灵活申请系统运维费用较为妥当。</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在公开项目绩效自评结果的同时，需公开《项目支出绩效自评表》（详见附件：防城港市公共资源交易中心2021年绩效管理自评表（公共资源交易平台系统维护费））。</w:t>
      </w:r>
    </w:p>
    <w:p>
      <w:pPr>
        <w:autoSpaceDE w:val="0"/>
        <w:autoSpaceDN w:val="0"/>
        <w:adjustRightInd w:val="0"/>
        <w:spacing w:line="560" w:lineRule="exact"/>
        <w:ind w:firstLine="560" w:firstLineChars="200"/>
        <w:jc w:val="left"/>
        <w:rPr>
          <w:rFonts w:ascii="仿宋" w:hAnsi="仿宋" w:eastAsia="仿宋" w:cs="仿宋_GB2312"/>
          <w:kern w:val="0"/>
          <w:sz w:val="28"/>
          <w:szCs w:val="28"/>
        </w:rPr>
      </w:pPr>
    </w:p>
    <w:p>
      <w:pPr>
        <w:autoSpaceDE w:val="0"/>
        <w:autoSpaceDN w:val="0"/>
        <w:adjustRightInd w:val="0"/>
        <w:spacing w:line="560" w:lineRule="exact"/>
        <w:jc w:val="center"/>
        <w:rPr>
          <w:rFonts w:ascii="仿宋" w:hAnsi="仿宋" w:eastAsia="仿宋" w:cs="仿宋_GB2312"/>
          <w:b/>
          <w:kern w:val="0"/>
          <w:sz w:val="28"/>
          <w:szCs w:val="28"/>
        </w:rPr>
      </w:pPr>
    </w:p>
    <w:p>
      <w:pPr>
        <w:autoSpaceDE w:val="0"/>
        <w:autoSpaceDN w:val="0"/>
        <w:adjustRightInd w:val="0"/>
        <w:spacing w:line="560" w:lineRule="exact"/>
        <w:jc w:val="center"/>
        <w:rPr>
          <w:rFonts w:ascii="仿宋" w:hAnsi="仿宋" w:eastAsia="仿宋" w:cs="仿宋_GB2312"/>
          <w:b/>
          <w:kern w:val="0"/>
          <w:sz w:val="28"/>
          <w:szCs w:val="28"/>
        </w:rPr>
      </w:pPr>
      <w:r>
        <w:rPr>
          <w:rFonts w:hint="eastAsia" w:ascii="仿宋" w:hAnsi="仿宋" w:eastAsia="仿宋" w:cs="仿宋_GB2312"/>
          <w:b/>
          <w:kern w:val="0"/>
          <w:sz w:val="28"/>
          <w:szCs w:val="28"/>
        </w:rPr>
        <w:t>第四部分  名词解释</w:t>
      </w:r>
    </w:p>
    <w:p>
      <w:pPr>
        <w:ind w:firstLine="640"/>
        <w:rPr>
          <w:rFonts w:ascii="仿宋" w:hAnsi="仿宋" w:eastAsia="仿宋"/>
          <w:sz w:val="28"/>
          <w:szCs w:val="28"/>
        </w:rPr>
      </w:pPr>
      <w:r>
        <w:rPr>
          <w:rFonts w:hint="eastAsia" w:ascii="仿宋" w:hAnsi="仿宋" w:eastAsia="仿宋"/>
          <w:sz w:val="28"/>
          <w:szCs w:val="28"/>
        </w:rPr>
        <w:t xml:space="preserve">一、财政拨款收入：指市本级财政部门当年拨付的资金。 </w:t>
      </w:r>
    </w:p>
    <w:p>
      <w:pPr>
        <w:ind w:firstLine="560" w:firstLineChars="200"/>
        <w:rPr>
          <w:rFonts w:ascii="仿宋" w:hAnsi="仿宋" w:eastAsia="仿宋"/>
          <w:sz w:val="28"/>
          <w:szCs w:val="28"/>
        </w:rPr>
      </w:pPr>
      <w:r>
        <w:rPr>
          <w:rFonts w:hint="eastAsia" w:ascii="仿宋" w:hAnsi="仿宋" w:eastAsia="仿宋"/>
          <w:sz w:val="28"/>
          <w:szCs w:val="28"/>
        </w:rPr>
        <w:t>二、事业收入：指事业单位开展专业业务活动及辅助活动所取得的收入。</w:t>
      </w:r>
    </w:p>
    <w:p>
      <w:pPr>
        <w:ind w:firstLine="560" w:firstLineChars="200"/>
        <w:rPr>
          <w:rFonts w:ascii="仿宋" w:hAnsi="仿宋" w:eastAsia="仿宋"/>
          <w:sz w:val="28"/>
          <w:szCs w:val="28"/>
        </w:rPr>
      </w:pPr>
      <w:r>
        <w:rPr>
          <w:rFonts w:hint="eastAsia" w:ascii="仿宋" w:hAnsi="仿宋" w:eastAsia="仿宋"/>
          <w:sz w:val="28"/>
          <w:szCs w:val="28"/>
        </w:rPr>
        <w:t>三、经营收入：指事业单位在专业业务活动及其辅助活动之外开展非独立核算经营活动取得的收入。</w:t>
      </w:r>
    </w:p>
    <w:p>
      <w:pPr>
        <w:ind w:firstLine="640"/>
        <w:rPr>
          <w:rFonts w:ascii="仿宋" w:hAnsi="仿宋" w:eastAsia="仿宋"/>
          <w:sz w:val="28"/>
          <w:szCs w:val="28"/>
        </w:rPr>
      </w:pPr>
      <w:r>
        <w:rPr>
          <w:rFonts w:hint="eastAsia" w:ascii="仿宋" w:hAnsi="仿宋" w:eastAsia="仿宋"/>
          <w:sz w:val="28"/>
          <w:szCs w:val="28"/>
        </w:rPr>
        <w:t>四、其他收入：指除上述“财政拨款收入”、“事业收入”、“经营收入”等以外的收入。</w:t>
      </w:r>
    </w:p>
    <w:p>
      <w:pPr>
        <w:ind w:firstLine="560" w:firstLineChars="200"/>
        <w:rPr>
          <w:rFonts w:ascii="仿宋" w:hAnsi="仿宋" w:eastAsia="仿宋"/>
          <w:sz w:val="28"/>
          <w:szCs w:val="28"/>
        </w:rPr>
      </w:pPr>
      <w:r>
        <w:rPr>
          <w:rFonts w:hint="eastAsia" w:ascii="仿宋" w:hAnsi="仿宋" w:eastAsia="仿宋"/>
          <w:sz w:val="28"/>
          <w:szCs w:val="28"/>
        </w:rPr>
        <w:t xml:space="preserve">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560" w:firstLineChars="200"/>
        <w:rPr>
          <w:rFonts w:ascii="仿宋" w:hAnsi="仿宋" w:eastAsia="仿宋"/>
          <w:sz w:val="28"/>
          <w:szCs w:val="28"/>
        </w:rPr>
      </w:pPr>
      <w:r>
        <w:rPr>
          <w:rFonts w:hint="eastAsia" w:ascii="仿宋" w:hAnsi="仿宋" w:eastAsia="仿宋"/>
          <w:sz w:val="28"/>
          <w:szCs w:val="28"/>
        </w:rPr>
        <w:t xml:space="preserve">六、年初结转和结余：指以前年度尚未完成、结转到本年 按有关规定继续使用的资金。 </w:t>
      </w:r>
    </w:p>
    <w:p>
      <w:pPr>
        <w:ind w:firstLine="560" w:firstLineChars="200"/>
        <w:rPr>
          <w:rFonts w:ascii="仿宋" w:hAnsi="仿宋" w:eastAsia="仿宋"/>
          <w:sz w:val="28"/>
          <w:szCs w:val="28"/>
        </w:rPr>
      </w:pPr>
      <w:r>
        <w:rPr>
          <w:rFonts w:hint="eastAsia" w:ascii="仿宋" w:hAnsi="仿宋" w:eastAsia="仿宋"/>
          <w:sz w:val="28"/>
          <w:szCs w:val="28"/>
        </w:rPr>
        <w:t xml:space="preserve">七、结余分配：指事业单位按规定提取的职工福利基金、事业基金和缴纳的所得税，以及建设单位按规定应交回的基本建设竣工项目结余资金。 </w:t>
      </w:r>
    </w:p>
    <w:p>
      <w:pPr>
        <w:ind w:firstLine="560" w:firstLineChars="200"/>
        <w:rPr>
          <w:rFonts w:ascii="仿宋" w:hAnsi="仿宋" w:eastAsia="仿宋"/>
          <w:sz w:val="28"/>
          <w:szCs w:val="28"/>
        </w:rPr>
      </w:pPr>
      <w:r>
        <w:rPr>
          <w:rFonts w:hint="eastAsia" w:ascii="仿宋" w:hAnsi="仿宋" w:eastAsia="仿宋"/>
          <w:sz w:val="28"/>
          <w:szCs w:val="28"/>
        </w:rPr>
        <w:t xml:space="preserve">八、年末结转和结余：指本年度或以前年度预算安排、因客观条件发生变化无法按原计划实施，需要延迟到以后年度按有关规定继续使用的资金。 </w:t>
      </w:r>
    </w:p>
    <w:p>
      <w:pPr>
        <w:ind w:firstLine="560" w:firstLineChars="200"/>
        <w:rPr>
          <w:rFonts w:ascii="仿宋" w:hAnsi="仿宋" w:eastAsia="仿宋"/>
          <w:sz w:val="28"/>
          <w:szCs w:val="28"/>
        </w:rPr>
      </w:pPr>
      <w:r>
        <w:rPr>
          <w:rFonts w:hint="eastAsia" w:ascii="仿宋" w:hAnsi="仿宋" w:eastAsia="仿宋"/>
          <w:sz w:val="28"/>
          <w:szCs w:val="28"/>
        </w:rPr>
        <w:t xml:space="preserve">九、基本支出：指为保障机构正常运转、完成日常工作任务而发生的人员支出和公用支出。 </w:t>
      </w:r>
    </w:p>
    <w:p>
      <w:pPr>
        <w:ind w:firstLine="560" w:firstLineChars="200"/>
        <w:rPr>
          <w:rFonts w:ascii="仿宋" w:hAnsi="仿宋" w:eastAsia="仿宋"/>
          <w:sz w:val="28"/>
          <w:szCs w:val="28"/>
        </w:rPr>
      </w:pPr>
      <w:r>
        <w:rPr>
          <w:rFonts w:hint="eastAsia" w:ascii="仿宋" w:hAnsi="仿宋" w:eastAsia="仿宋"/>
          <w:sz w:val="28"/>
          <w:szCs w:val="28"/>
        </w:rPr>
        <w:t xml:space="preserve">十、项目支出：指在基本支出之外为完成特定行政任务和事业发展目标所发生的支出。 </w:t>
      </w:r>
    </w:p>
    <w:p>
      <w:pPr>
        <w:ind w:firstLine="640"/>
        <w:rPr>
          <w:rFonts w:ascii="仿宋" w:hAnsi="仿宋" w:eastAsia="仿宋"/>
          <w:sz w:val="28"/>
          <w:szCs w:val="28"/>
        </w:rPr>
      </w:pPr>
      <w:r>
        <w:rPr>
          <w:rFonts w:hint="eastAsia" w:ascii="仿宋" w:hAnsi="仿宋" w:eastAsia="仿宋"/>
          <w:sz w:val="28"/>
          <w:szCs w:val="28"/>
        </w:rPr>
        <w:t>十一、经营支出：指事业单位在专业业务活动及其辅助活动之外开展非独立核算经营活动发生的支出。</w:t>
      </w:r>
    </w:p>
    <w:p>
      <w:pPr>
        <w:ind w:firstLine="560" w:firstLineChars="200"/>
        <w:rPr>
          <w:rFonts w:ascii="仿宋" w:hAnsi="仿宋" w:eastAsia="仿宋"/>
          <w:sz w:val="28"/>
          <w:szCs w:val="28"/>
        </w:rPr>
      </w:pPr>
      <w:r>
        <w:rPr>
          <w:rFonts w:hint="eastAsia" w:ascii="仿宋" w:hAnsi="仿宋" w:eastAsia="仿宋"/>
          <w:sz w:val="28"/>
          <w:szCs w:val="28"/>
        </w:rPr>
        <w:t xml:space="preserve">十二、“三公”经费：纳入市本级财政预决算管理的“三公”经费，是指市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560" w:firstLineChars="200"/>
        <w:rPr>
          <w:rFonts w:ascii="仿宋" w:hAnsi="仿宋" w:eastAsia="仿宋"/>
          <w:sz w:val="28"/>
          <w:szCs w:val="28"/>
        </w:rPr>
      </w:pPr>
      <w:r>
        <w:rPr>
          <w:rFonts w:hint="eastAsia" w:ascii="仿宋" w:hAnsi="仿宋" w:eastAsia="仿宋"/>
          <w:sz w:val="28"/>
          <w:szCs w:val="28"/>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sz w:val="28"/>
          <w:szCs w:val="28"/>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ArialUnicodeMS">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A87"/>
    <w:rsid w:val="000522C3"/>
    <w:rsid w:val="00052380"/>
    <w:rsid w:val="00077987"/>
    <w:rsid w:val="00100AB8"/>
    <w:rsid w:val="001353D3"/>
    <w:rsid w:val="00174E4F"/>
    <w:rsid w:val="0017787C"/>
    <w:rsid w:val="001B6672"/>
    <w:rsid w:val="001C2BEC"/>
    <w:rsid w:val="001D73D0"/>
    <w:rsid w:val="00204907"/>
    <w:rsid w:val="00264562"/>
    <w:rsid w:val="00273937"/>
    <w:rsid w:val="002A6C1B"/>
    <w:rsid w:val="002B1614"/>
    <w:rsid w:val="00324BFC"/>
    <w:rsid w:val="00376FA1"/>
    <w:rsid w:val="003E5B66"/>
    <w:rsid w:val="003F13EB"/>
    <w:rsid w:val="00420AF7"/>
    <w:rsid w:val="00470755"/>
    <w:rsid w:val="00475720"/>
    <w:rsid w:val="004765C3"/>
    <w:rsid w:val="00483A87"/>
    <w:rsid w:val="004D4E47"/>
    <w:rsid w:val="004E2FB3"/>
    <w:rsid w:val="0051684C"/>
    <w:rsid w:val="00577CD5"/>
    <w:rsid w:val="00587C40"/>
    <w:rsid w:val="00597BFD"/>
    <w:rsid w:val="005D70C8"/>
    <w:rsid w:val="006347FE"/>
    <w:rsid w:val="006524AE"/>
    <w:rsid w:val="006665D6"/>
    <w:rsid w:val="006A6064"/>
    <w:rsid w:val="006C2520"/>
    <w:rsid w:val="006E4614"/>
    <w:rsid w:val="00710EE1"/>
    <w:rsid w:val="00723006"/>
    <w:rsid w:val="007331FD"/>
    <w:rsid w:val="007B2DAD"/>
    <w:rsid w:val="007C6944"/>
    <w:rsid w:val="007D5506"/>
    <w:rsid w:val="00820C34"/>
    <w:rsid w:val="008264AB"/>
    <w:rsid w:val="00837FB3"/>
    <w:rsid w:val="00871B61"/>
    <w:rsid w:val="008C2DFF"/>
    <w:rsid w:val="00925296"/>
    <w:rsid w:val="0093343B"/>
    <w:rsid w:val="00933A1C"/>
    <w:rsid w:val="009351E1"/>
    <w:rsid w:val="00942E9B"/>
    <w:rsid w:val="00980F45"/>
    <w:rsid w:val="009879D3"/>
    <w:rsid w:val="009A0E1E"/>
    <w:rsid w:val="009D78B7"/>
    <w:rsid w:val="009E45DD"/>
    <w:rsid w:val="009F5773"/>
    <w:rsid w:val="00A1004F"/>
    <w:rsid w:val="00A472EB"/>
    <w:rsid w:val="00A71157"/>
    <w:rsid w:val="00A743BD"/>
    <w:rsid w:val="00B0068E"/>
    <w:rsid w:val="00B01EA2"/>
    <w:rsid w:val="00B44B0B"/>
    <w:rsid w:val="00BC2E59"/>
    <w:rsid w:val="00C05816"/>
    <w:rsid w:val="00C85C53"/>
    <w:rsid w:val="00D0047D"/>
    <w:rsid w:val="00D35152"/>
    <w:rsid w:val="00D9500D"/>
    <w:rsid w:val="00DB63CF"/>
    <w:rsid w:val="00DD7BCC"/>
    <w:rsid w:val="00DF7338"/>
    <w:rsid w:val="00E06D13"/>
    <w:rsid w:val="00E5658C"/>
    <w:rsid w:val="00F05E9F"/>
    <w:rsid w:val="00F21FC5"/>
    <w:rsid w:val="00F8380B"/>
    <w:rsid w:val="0AB47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rPr>
  </w:style>
  <w:style w:type="paragraph" w:styleId="7">
    <w:name w:val="List Paragraph"/>
    <w:basedOn w:val="1"/>
    <w:qFormat/>
    <w:uiPriority w:val="34"/>
    <w:pPr>
      <w:ind w:firstLine="420" w:firstLineChars="200"/>
    </w:pPr>
  </w:style>
  <w:style w:type="character" w:customStyle="1" w:styleId="8">
    <w:name w:val="页眉 Char"/>
    <w:basedOn w:val="6"/>
    <w:link w:val="3"/>
    <w:uiPriority w:val="99"/>
    <w:rPr>
      <w:rFonts w:ascii="Times New Roman" w:hAnsi="Times New Roman" w:eastAsia="宋体" w:cs="Times New Roman"/>
      <w:sz w:val="18"/>
      <w:szCs w:val="18"/>
    </w:rPr>
  </w:style>
  <w:style w:type="character" w:customStyle="1" w:styleId="9">
    <w:name w:val="页脚 Char"/>
    <w:basedOn w:val="6"/>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F14E2F4-435B-45D0-A759-4F6BD800B31F}">
  <ds:schemaRefs/>
</ds:datastoreItem>
</file>

<file path=docProps/app.xml><?xml version="1.0" encoding="utf-8"?>
<Properties xmlns="http://schemas.openxmlformats.org/officeDocument/2006/extended-properties" xmlns:vt="http://schemas.openxmlformats.org/officeDocument/2006/docPropsVTypes">
  <Template>Normal</Template>
  <Pages>23</Pages>
  <Words>8612</Words>
  <Characters>11212</Characters>
  <Lines>98</Lines>
  <Paragraphs>27</Paragraphs>
  <TotalTime>578</TotalTime>
  <ScaleCrop>false</ScaleCrop>
  <LinksUpToDate>false</LinksUpToDate>
  <CharactersWithSpaces>12053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2022-09-15T02:26:00Z</dcterms:created>
  <dc:creator>Administrator</dc:creator>
  <cp:lastModifiedBy>Administrator</cp:lastModifiedBy>
  <dcterms:modified xsi:type="dcterms:W3CDTF">2022-09-22T08:37:05Z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689410886FDA4119A4D181CDC87690D6</vt:lpwstr>
  </property>
</Properties>
</file>