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9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  <w:t>可视化远程异地开评标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  <w:t>操作手册</w:t>
      </w:r>
    </w:p>
    <w:p>
      <w:pPr>
        <w:pStyle w:val="2"/>
        <w:spacing w:before="133" w:line="188" w:lineRule="auto"/>
        <w:ind w:left="199"/>
        <w:outlineLvl w:val="0"/>
        <w:rPr>
          <w:sz w:val="31"/>
          <w:szCs w:val="31"/>
        </w:rPr>
      </w:pPr>
      <w:r>
        <w:rPr>
          <w:b/>
          <w:bCs/>
          <w:color w:val="00B0F0"/>
          <w:spacing w:val="6"/>
          <w:sz w:val="31"/>
          <w:szCs w:val="31"/>
        </w:rPr>
        <w:t>前期准备：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03" w:line="183" w:lineRule="auto"/>
        <w:ind w:left="699"/>
      </w:pPr>
      <w:r>
        <w:rPr>
          <w:spacing w:val="-3"/>
        </w:rPr>
        <w:t>1.</w:t>
      </w:r>
      <w:r>
        <w:rPr>
          <w:spacing w:val="19"/>
        </w:rPr>
        <w:t xml:space="preserve">  </w:t>
      </w:r>
      <w:r>
        <w:rPr>
          <w:spacing w:val="-3"/>
        </w:rPr>
        <w:t>明确要做远程异地评标项目；</w:t>
      </w:r>
    </w:p>
    <w:p>
      <w:pPr>
        <w:pStyle w:val="2"/>
        <w:spacing w:before="308" w:line="624" w:lineRule="exact"/>
        <w:ind w:left="688"/>
      </w:pPr>
      <w:r>
        <w:rPr>
          <w:spacing w:val="-1"/>
          <w:position w:val="30"/>
        </w:rPr>
        <w:t>2.  核实是否已共享意向地市的专家库</w:t>
      </w:r>
      <w:r>
        <w:rPr>
          <w:spacing w:val="-35"/>
          <w:position w:val="30"/>
        </w:rPr>
        <w:t xml:space="preserve"> </w:t>
      </w:r>
      <w:r>
        <w:rPr>
          <w:spacing w:val="-1"/>
          <w:position w:val="30"/>
        </w:rPr>
        <w:t>，专家库共享由当地</w:t>
      </w:r>
      <w:r>
        <w:rPr>
          <w:spacing w:val="-2"/>
          <w:position w:val="30"/>
        </w:rPr>
        <w:t>财政发起</w:t>
      </w:r>
      <w:r>
        <w:rPr>
          <w:spacing w:val="-35"/>
          <w:position w:val="30"/>
        </w:rPr>
        <w:t xml:space="preserve"> </w:t>
      </w:r>
      <w:r>
        <w:rPr>
          <w:spacing w:val="-2"/>
          <w:position w:val="30"/>
        </w:rPr>
        <w:t>，可联</w:t>
      </w:r>
    </w:p>
    <w:p>
      <w:pPr>
        <w:pStyle w:val="2"/>
        <w:spacing w:line="184" w:lineRule="auto"/>
        <w:ind w:left="196"/>
      </w:pPr>
      <w:r>
        <w:rPr>
          <w:spacing w:val="-1"/>
        </w:rPr>
        <w:t>系采购办核实是否已做好专家库的共享；</w:t>
      </w:r>
    </w:p>
    <w:p>
      <w:pPr>
        <w:pStyle w:val="2"/>
        <w:spacing w:before="309" w:line="623" w:lineRule="exact"/>
        <w:ind w:left="689"/>
      </w:pPr>
      <w:r>
        <w:rPr>
          <w:position w:val="30"/>
          <w:sz w:val="20"/>
          <w:szCs w:val="20"/>
        </w:rPr>
        <w:t xml:space="preserve">3.   </w:t>
      </w:r>
      <w:r>
        <w:rPr>
          <w:position w:val="30"/>
        </w:rPr>
        <w:t>明确目标地市是否有符合远程异地评标的场地</w:t>
      </w:r>
      <w:r>
        <w:rPr>
          <w:spacing w:val="-35"/>
          <w:position w:val="30"/>
        </w:rPr>
        <w:t xml:space="preserve"> </w:t>
      </w:r>
      <w:r>
        <w:rPr>
          <w:position w:val="30"/>
        </w:rPr>
        <w:t>，需</w:t>
      </w:r>
      <w:r>
        <w:rPr>
          <w:spacing w:val="-1"/>
          <w:position w:val="30"/>
        </w:rPr>
        <w:t>要有完成可视化建设</w:t>
      </w:r>
    </w:p>
    <w:p>
      <w:pPr>
        <w:pStyle w:val="2"/>
        <w:spacing w:before="2" w:line="183" w:lineRule="auto"/>
        <w:ind w:left="207"/>
      </w:pPr>
      <w:r>
        <w:rPr>
          <w:spacing w:val="-2"/>
        </w:rPr>
        <w:t>的交易中心或者代理机构</w:t>
      </w:r>
      <w:r>
        <w:rPr>
          <w:spacing w:val="-35"/>
        </w:rPr>
        <w:t xml:space="preserve"> </w:t>
      </w:r>
      <w:r>
        <w:rPr>
          <w:spacing w:val="-2"/>
        </w:rPr>
        <w:t>，确认该场地是否愿意</w:t>
      </w:r>
      <w:r>
        <w:rPr>
          <w:spacing w:val="-3"/>
        </w:rPr>
        <w:t>配合。</w:t>
      </w:r>
    </w:p>
    <w:p>
      <w:pPr>
        <w:pStyle w:val="2"/>
        <w:spacing w:before="276" w:line="186" w:lineRule="auto"/>
        <w:ind w:left="198"/>
        <w:rPr>
          <w:sz w:val="31"/>
          <w:szCs w:val="31"/>
        </w:rPr>
      </w:pPr>
      <w:r>
        <w:rPr>
          <w:b/>
          <w:bCs/>
          <w:color w:val="00B0F0"/>
          <w:spacing w:val="6"/>
          <w:sz w:val="31"/>
          <w:szCs w:val="31"/>
        </w:rPr>
        <w:t>操作步骤：</w:t>
      </w:r>
    </w:p>
    <w:p>
      <w:pPr>
        <w:pStyle w:val="2"/>
        <w:spacing w:before="210" w:line="187" w:lineRule="auto"/>
        <w:ind w:left="203"/>
        <w:rPr>
          <w:sz w:val="31"/>
          <w:szCs w:val="31"/>
        </w:rPr>
      </w:pPr>
      <w:r>
        <w:rPr>
          <w:b/>
          <w:bCs/>
          <w:spacing w:val="8"/>
          <w:sz w:val="31"/>
          <w:szCs w:val="31"/>
        </w:rPr>
        <w:t>一、场地设备共享</w:t>
      </w:r>
    </w:p>
    <w:p>
      <w:pPr>
        <w:pStyle w:val="2"/>
        <w:spacing w:before="245" w:line="183" w:lineRule="auto"/>
        <w:ind w:left="696"/>
      </w:pPr>
      <w:r>
        <w:rPr>
          <w:b/>
          <w:bCs/>
          <w:spacing w:val="-2"/>
        </w:rPr>
        <w:t>1.  常规远程异地评标场地共享操作</w:t>
      </w:r>
    </w:p>
    <w:p>
      <w:pPr>
        <w:pStyle w:val="2"/>
        <w:spacing w:before="263" w:line="373" w:lineRule="auto"/>
        <w:ind w:left="197" w:right="472" w:firstLine="514"/>
      </w:pPr>
      <w:r>
        <w:rPr>
          <w:b/>
          <w:bCs/>
          <w:spacing w:val="-2"/>
        </w:rPr>
        <w:t>（1）编制采购文件时</w:t>
      </w:r>
      <w:r>
        <w:rPr>
          <w:b/>
          <w:bCs/>
          <w:spacing w:val="-41"/>
        </w:rPr>
        <w:t xml:space="preserve"> </w:t>
      </w:r>
      <w:r>
        <w:rPr>
          <w:b/>
          <w:bCs/>
          <w:spacing w:val="-2"/>
        </w:rPr>
        <w:t>，采购公告发布前</w:t>
      </w:r>
      <w:r>
        <w:rPr>
          <w:spacing w:val="-2"/>
        </w:rPr>
        <w:t>同时选择</w:t>
      </w:r>
      <w:r>
        <w:rPr>
          <w:b/>
          <w:bCs/>
          <w:spacing w:val="-2"/>
        </w:rPr>
        <w:t>当地</w:t>
      </w:r>
      <w:r>
        <w:rPr>
          <w:spacing w:val="-2"/>
        </w:rPr>
        <w:t>和</w:t>
      </w:r>
      <w:r>
        <w:rPr>
          <w:b/>
          <w:bCs/>
          <w:spacing w:val="-2"/>
        </w:rPr>
        <w:t>异地</w:t>
      </w:r>
      <w:r>
        <w:rPr>
          <w:spacing w:val="-2"/>
        </w:rPr>
        <w:t>的</w:t>
      </w:r>
      <w:r>
        <w:rPr>
          <w:spacing w:val="-3"/>
        </w:rPr>
        <w:t>评审地址。</w:t>
      </w:r>
      <w:r>
        <w:t xml:space="preserve"> </w:t>
      </w:r>
      <w:r>
        <w:rPr>
          <w:spacing w:val="-3"/>
        </w:rPr>
        <w:t>在编辑公告信息的“开标评标时间地址”时，评标地址通过“共享场地”的方式</w:t>
      </w:r>
      <w:r>
        <w:rPr>
          <w:spacing w:val="7"/>
        </w:rPr>
        <w:t xml:space="preserve"> </w:t>
      </w:r>
      <w:r>
        <w:rPr>
          <w:spacing w:val="-3"/>
        </w:rPr>
        <w:t>选择</w:t>
      </w:r>
      <w:r>
        <w:rPr>
          <w:b/>
          <w:bCs/>
          <w:spacing w:val="-3"/>
        </w:rPr>
        <w:t>当地</w:t>
      </w:r>
      <w:r>
        <w:rPr>
          <w:spacing w:val="-3"/>
        </w:rPr>
        <w:t>的评审场地以及</w:t>
      </w:r>
      <w:r>
        <w:rPr>
          <w:b/>
          <w:bCs/>
          <w:spacing w:val="-3"/>
        </w:rPr>
        <w:t>异地</w:t>
      </w:r>
      <w:r>
        <w:rPr>
          <w:spacing w:val="-3"/>
        </w:rPr>
        <w:t>的评审场地。开标地址则判断项目采购方式是否需</w:t>
      </w:r>
    </w:p>
    <w:p>
      <w:pPr>
        <w:pStyle w:val="2"/>
        <w:spacing w:before="1" w:line="182" w:lineRule="auto"/>
        <w:ind w:left="198"/>
        <w:rPr>
          <w:spacing w:val="-2"/>
        </w:rPr>
      </w:pPr>
      <w:r>
        <w:rPr>
          <w:spacing w:val="-2"/>
        </w:rPr>
        <w:t>要进行选择</w:t>
      </w:r>
      <w:r>
        <w:rPr>
          <w:spacing w:val="-28"/>
        </w:rPr>
        <w:t xml:space="preserve"> </w:t>
      </w:r>
      <w:r>
        <w:rPr>
          <w:spacing w:val="-2"/>
        </w:rPr>
        <w:t>，一般公开招标项目才需要填写开标场地。</w:t>
      </w:r>
    </w:p>
    <w:p>
      <w:pPr>
        <w:pStyle w:val="2"/>
        <w:spacing w:before="1" w:line="182" w:lineRule="auto"/>
        <w:ind w:left="198"/>
        <w:rPr>
          <w:spacing w:val="-2"/>
        </w:rPr>
      </w:pPr>
      <w:r>
        <w:drawing>
          <wp:inline distT="0" distB="0" distL="114300" distR="114300">
            <wp:extent cx="5229225" cy="2648585"/>
            <wp:effectExtent l="0" t="0" r="3175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64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79" w:line="3608" w:lineRule="exact"/>
        <w:sectPr>
          <w:pgSz w:w="11906" w:h="16839"/>
          <w:pgMar w:top="1431" w:right="1326" w:bottom="0" w:left="1605" w:header="0" w:footer="0" w:gutter="0"/>
          <w:cols w:space="720" w:num="1"/>
        </w:sectPr>
      </w:pPr>
    </w:p>
    <w:p>
      <w:pPr>
        <w:pStyle w:val="2"/>
        <w:numPr>
          <w:ilvl w:val="0"/>
          <w:numId w:val="1"/>
        </w:numPr>
        <w:spacing w:before="166" w:line="221" w:lineRule="auto"/>
        <w:ind w:left="655"/>
      </w:pPr>
      <w:r>
        <w:rPr>
          <w:spacing w:val="-3"/>
        </w:rPr>
        <w:t>点击场地申请</w:t>
      </w:r>
      <w:r>
        <w:rPr>
          <w:spacing w:val="-23"/>
        </w:rPr>
        <w:t xml:space="preserve"> </w:t>
      </w:r>
      <w:r>
        <w:rPr>
          <w:spacing w:val="-3"/>
        </w:rPr>
        <w:t>，填写搜索需要使用场地的交易中心或公司场地。</w:t>
      </w:r>
      <w:r>
        <w:drawing>
          <wp:inline distT="0" distB="0" distL="114300" distR="114300">
            <wp:extent cx="4820285" cy="2382520"/>
            <wp:effectExtent l="0" t="0" r="571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0285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60" w:line="221" w:lineRule="auto"/>
        <w:ind w:left="535"/>
      </w:pPr>
      <w:r>
        <w:rPr>
          <w:spacing w:val="-5"/>
        </w:rPr>
        <w:t>（3）选择共享时间段</w:t>
      </w:r>
      <w:r>
        <w:rPr>
          <w:spacing w:val="-35"/>
        </w:rPr>
        <w:t xml:space="preserve"> </w:t>
      </w:r>
      <w:r>
        <w:rPr>
          <w:spacing w:val="-5"/>
        </w:rPr>
        <w:t>，提交申请。</w:t>
      </w:r>
      <w:r>
        <w:drawing>
          <wp:inline distT="0" distB="0" distL="114300" distR="114300">
            <wp:extent cx="4899660" cy="23717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57" w:line="221" w:lineRule="auto"/>
        <w:ind w:left="535"/>
      </w:pPr>
      <w:r>
        <w:rPr>
          <w:spacing w:val="-5"/>
        </w:rPr>
        <w:t>（4）确认申请信息。</w:t>
      </w:r>
      <w:r>
        <w:drawing>
          <wp:inline distT="0" distB="0" distL="114300" distR="114300">
            <wp:extent cx="4877435" cy="3133725"/>
            <wp:effectExtent l="0" t="0" r="12065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743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82" w:lineRule="auto"/>
        <w:rPr>
          <w:rFonts w:ascii="Arial"/>
          <w:sz w:val="21"/>
        </w:rPr>
      </w:pPr>
    </w:p>
    <w:p>
      <w:pPr>
        <w:spacing w:line="3382" w:lineRule="exact"/>
        <w:sectPr>
          <w:pgSz w:w="11906" w:h="16839"/>
          <w:pgMar w:top="1431" w:right="1751" w:bottom="0" w:left="1785" w:header="0" w:footer="0" w:gutter="0"/>
          <w:cols w:space="720" w:num="1"/>
        </w:sectPr>
      </w:pPr>
    </w:p>
    <w:p>
      <w:pPr>
        <w:pStyle w:val="2"/>
        <w:spacing w:before="166" w:line="221" w:lineRule="auto"/>
        <w:ind w:left="535"/>
      </w:pPr>
      <w:r>
        <w:rPr>
          <w:spacing w:val="-4"/>
        </w:rPr>
        <w:t>（5）填写联系人信息。</w:t>
      </w:r>
      <w:r>
        <w:drawing>
          <wp:inline distT="0" distB="0" distL="114300" distR="114300">
            <wp:extent cx="4946650" cy="3648710"/>
            <wp:effectExtent l="0" t="0" r="6350" b="889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364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212" w:line="221" w:lineRule="auto"/>
        <w:ind w:left="535"/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spacing w:val="-4"/>
        </w:rPr>
        <w:t>（6）最终完成两个场地的申请和预约</w:t>
      </w:r>
      <w:r>
        <w:rPr>
          <w:spacing w:val="-24"/>
        </w:rPr>
        <w:t xml:space="preserve"> </w:t>
      </w:r>
      <w:r>
        <w:rPr>
          <w:spacing w:val="-4"/>
        </w:rPr>
        <w:t>，</w:t>
      </w:r>
      <w:r>
        <w:rPr>
          <w:rFonts w:hint="eastAsia"/>
          <w:spacing w:val="-4"/>
          <w:lang w:val="en-US" w:eastAsia="zh-CN"/>
        </w:rPr>
        <w:t>并显示审核情况</w:t>
      </w:r>
      <w:r>
        <w:rPr>
          <w:spacing w:val="-4"/>
        </w:rPr>
        <w:t>。</w:t>
      </w:r>
      <w:r>
        <w:drawing>
          <wp:inline distT="0" distB="0" distL="114300" distR="114300">
            <wp:extent cx="4678045" cy="2506345"/>
            <wp:effectExtent l="0" t="0" r="8255" b="8255"/>
            <wp:docPr id="3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8045" cy="25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59" w:lineRule="auto"/>
        <w:rPr>
          <w:rFonts w:ascii="Arial"/>
          <w:sz w:val="21"/>
        </w:rPr>
      </w:pPr>
    </w:p>
    <w:p>
      <w:pPr>
        <w:pStyle w:val="2"/>
        <w:spacing w:before="133" w:line="659" w:lineRule="exact"/>
        <w:ind w:left="129"/>
        <w:rPr>
          <w:sz w:val="31"/>
          <w:szCs w:val="31"/>
        </w:rPr>
      </w:pPr>
      <w:r>
        <w:rPr>
          <w:b/>
          <w:bCs/>
          <w:spacing w:val="8"/>
          <w:position w:val="26"/>
          <w:sz w:val="31"/>
          <w:szCs w:val="31"/>
        </w:rPr>
        <w:t>二、专家抽取设置</w:t>
      </w:r>
    </w:p>
    <w:p>
      <w:pPr>
        <w:pStyle w:val="2"/>
        <w:spacing w:line="183" w:lineRule="auto"/>
        <w:ind w:left="622"/>
      </w:pPr>
      <w:r>
        <w:rPr>
          <w:b/>
          <w:bCs/>
          <w:spacing w:val="-2"/>
        </w:rPr>
        <w:t>1.  备注评审地址信息</w:t>
      </w:r>
    </w:p>
    <w:p>
      <w:pPr>
        <w:pStyle w:val="2"/>
        <w:spacing w:before="308" w:line="626" w:lineRule="exact"/>
        <w:ind w:left="605"/>
      </w:pPr>
      <w:r>
        <w:rPr>
          <w:spacing w:val="-3"/>
          <w:position w:val="30"/>
        </w:rPr>
        <w:t>专家抽取时，填写的抽取需求需要填好两个场地的评审地址，同时备注</w:t>
      </w:r>
      <w:r>
        <w:rPr>
          <w:spacing w:val="-4"/>
          <w:position w:val="30"/>
        </w:rPr>
        <w:t>好异</w:t>
      </w:r>
    </w:p>
    <w:p>
      <w:pPr>
        <w:pStyle w:val="2"/>
        <w:spacing w:before="211" w:line="183" w:lineRule="auto"/>
      </w:pPr>
      <w:r>
        <w:rPr>
          <w:spacing w:val="-1"/>
        </w:rPr>
        <w:t>地评标信息。</w:t>
      </w:r>
      <w:r>
        <w:drawing>
          <wp:inline distT="0" distB="0" distL="114300" distR="114300">
            <wp:extent cx="5282565" cy="2270125"/>
            <wp:effectExtent l="0" t="0" r="635" b="3175"/>
            <wp:docPr id="3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spacing w:before="265" w:line="221" w:lineRule="auto"/>
        <w:ind w:firstLine="708" w:firstLineChars="300"/>
        <w:rPr>
          <w:b/>
          <w:bCs/>
          <w:spacing w:val="-2"/>
        </w:rPr>
      </w:pPr>
      <w:r>
        <w:rPr>
          <w:rFonts w:hint="eastAsia"/>
          <w:b/>
          <w:bCs/>
          <w:spacing w:val="-2"/>
          <w:lang w:val="en-US" w:eastAsia="zh-CN"/>
        </w:rPr>
        <w:t>2.</w:t>
      </w:r>
      <w:r>
        <w:rPr>
          <w:b/>
          <w:bCs/>
          <w:spacing w:val="-2"/>
        </w:rPr>
        <w:t xml:space="preserve"> 专家库选择</w:t>
      </w:r>
    </w:p>
    <w:p>
      <w:pPr>
        <w:pStyle w:val="2"/>
        <w:numPr>
          <w:ilvl w:val="0"/>
          <w:numId w:val="0"/>
        </w:numPr>
        <w:spacing w:before="265" w:line="221" w:lineRule="auto"/>
        <w:ind w:firstLine="720" w:firstLineChars="300"/>
        <w:rPr>
          <w:spacing w:val="-1"/>
        </w:rPr>
      </w:pPr>
      <w:r>
        <w:t>填写的抽取方案要同时填写两个地市的专家库（当地和异地）的</w:t>
      </w:r>
      <w:r>
        <w:rPr>
          <w:spacing w:val="-1"/>
        </w:rPr>
        <w:t>抽取规则。</w:t>
      </w:r>
    </w:p>
    <w:p>
      <w:pPr>
        <w:pStyle w:val="2"/>
        <w:numPr>
          <w:ilvl w:val="0"/>
          <w:numId w:val="0"/>
        </w:numPr>
        <w:spacing w:before="265" w:line="221" w:lineRule="auto"/>
        <w:ind w:firstLine="720" w:firstLineChars="300"/>
      </w:pPr>
      <w:r>
        <w:drawing>
          <wp:inline distT="0" distB="0" distL="114300" distR="114300">
            <wp:extent cx="4948555" cy="2124075"/>
            <wp:effectExtent l="0" t="0" r="4445" b="9525"/>
            <wp:docPr id="3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4855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59" w:lineRule="auto"/>
        <w:rPr>
          <w:rFonts w:ascii="Arial"/>
          <w:sz w:val="21"/>
        </w:rPr>
      </w:pPr>
    </w:p>
    <w:p>
      <w:pPr>
        <w:pStyle w:val="2"/>
        <w:spacing w:before="103" w:line="370" w:lineRule="auto"/>
        <w:ind w:left="371" w:right="1010" w:firstLine="481"/>
        <w:jc w:val="both"/>
      </w:pPr>
      <w:r>
        <w:rPr>
          <w:color w:val="FF0000"/>
          <w:spacing w:val="-3"/>
        </w:rPr>
        <w:t>注意：开标时如果视频会议及专家监控未开启，则需要代理机构手动发起视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2"/>
        </w:rPr>
        <w:t>频会议及专家监控（桌面共享</w:t>
      </w:r>
      <w:r>
        <w:rPr>
          <w:color w:val="FF0000"/>
          <w:spacing w:val="-16"/>
        </w:rPr>
        <w:t>），</w:t>
      </w:r>
      <w:r>
        <w:rPr>
          <w:color w:val="FF0000"/>
          <w:spacing w:val="-2"/>
        </w:rPr>
        <w:t>后续操作跟平时电子标流程一致。具体操作如</w:t>
      </w:r>
      <w:r>
        <w:rPr>
          <w:color w:val="FF0000"/>
          <w:spacing w:val="-4"/>
        </w:rPr>
        <w:t>下：</w:t>
      </w:r>
    </w:p>
    <w:p>
      <w:pPr>
        <w:pStyle w:val="2"/>
        <w:spacing w:before="211" w:line="183" w:lineRule="auto"/>
      </w:pPr>
    </w:p>
    <w:p>
      <w:pPr>
        <w:pStyle w:val="2"/>
        <w:spacing w:before="1" w:line="182" w:lineRule="auto"/>
        <w:ind w:left="121"/>
        <w:sectPr>
          <w:pgSz w:w="11906" w:h="16839"/>
          <w:pgMar w:top="1431" w:right="714" w:bottom="0" w:left="1680" w:header="0" w:footer="0" w:gutter="0"/>
          <w:cols w:space="720" w:num="1"/>
        </w:sectPr>
      </w:pPr>
    </w:p>
    <w:p>
      <w:pPr>
        <w:pStyle w:val="2"/>
        <w:spacing w:before="265" w:line="221" w:lineRule="auto"/>
        <w:ind w:left="891"/>
      </w:pPr>
      <w:r>
        <w:rPr>
          <w:spacing w:val="-5"/>
        </w:rPr>
        <w:t>（1）视频会议发起</w:t>
      </w:r>
      <w:r>
        <w:drawing>
          <wp:inline distT="0" distB="0" distL="114300" distR="114300">
            <wp:extent cx="4878705" cy="1851025"/>
            <wp:effectExtent l="0" t="0" r="10795" b="3175"/>
            <wp:docPr id="3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8705" cy="185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103" w:line="221" w:lineRule="auto"/>
        <w:ind w:left="891"/>
      </w:pPr>
      <w:r>
        <w:rPr>
          <w:spacing w:val="-3"/>
        </w:rPr>
        <w:t>（2）专家监控（专家桌面录屏）发起</w:t>
      </w:r>
      <w:r>
        <w:drawing>
          <wp:inline distT="0" distB="0" distL="114300" distR="114300">
            <wp:extent cx="4450080" cy="2282825"/>
            <wp:effectExtent l="0" t="0" r="7620" b="3175"/>
            <wp:docPr id="36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50080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dobe Devanagari">
    <w:panose1 w:val="02040503050201020203"/>
    <w:charset w:val="00"/>
    <w:family w:val="auto"/>
    <w:pitch w:val="default"/>
    <w:sig w:usb0="00008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61A02"/>
    <w:multiLevelType w:val="singleLevel"/>
    <w:tmpl w:val="38761A02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YwZjZhOTZlNjVjZjY3MDdkNTQ3OGMwZWVkODQ0ZWYifQ=="/>
  </w:docVars>
  <w:rsids>
    <w:rsidRoot w:val="00000000"/>
    <w:rsid w:val="009224FE"/>
    <w:rsid w:val="00C12DE3"/>
    <w:rsid w:val="00C91C98"/>
    <w:rsid w:val="012F5F9F"/>
    <w:rsid w:val="016814B1"/>
    <w:rsid w:val="01D46B46"/>
    <w:rsid w:val="03887BE8"/>
    <w:rsid w:val="03993BA4"/>
    <w:rsid w:val="03EA5E52"/>
    <w:rsid w:val="0431202E"/>
    <w:rsid w:val="052D0A47"/>
    <w:rsid w:val="05445D91"/>
    <w:rsid w:val="054A15F9"/>
    <w:rsid w:val="05AA2098"/>
    <w:rsid w:val="06915006"/>
    <w:rsid w:val="0B6B5157"/>
    <w:rsid w:val="0B772A1C"/>
    <w:rsid w:val="0EDC703A"/>
    <w:rsid w:val="0EDD528C"/>
    <w:rsid w:val="0FF860F6"/>
    <w:rsid w:val="102D5D9F"/>
    <w:rsid w:val="106317C1"/>
    <w:rsid w:val="10CE2F71"/>
    <w:rsid w:val="11382C4E"/>
    <w:rsid w:val="11847C41"/>
    <w:rsid w:val="11EB7CC0"/>
    <w:rsid w:val="12824D3E"/>
    <w:rsid w:val="129640D0"/>
    <w:rsid w:val="12B207DE"/>
    <w:rsid w:val="12FE7EC7"/>
    <w:rsid w:val="14164D9C"/>
    <w:rsid w:val="1468384A"/>
    <w:rsid w:val="148368D6"/>
    <w:rsid w:val="15022E87"/>
    <w:rsid w:val="15FF3D3A"/>
    <w:rsid w:val="16C45542"/>
    <w:rsid w:val="170A0BE8"/>
    <w:rsid w:val="17A252C5"/>
    <w:rsid w:val="17FA6EAF"/>
    <w:rsid w:val="188B7B07"/>
    <w:rsid w:val="18B3705E"/>
    <w:rsid w:val="18D72D4C"/>
    <w:rsid w:val="1A5D54D3"/>
    <w:rsid w:val="1AEC6857"/>
    <w:rsid w:val="1BE13EE2"/>
    <w:rsid w:val="1DB01DBE"/>
    <w:rsid w:val="1E0A7720"/>
    <w:rsid w:val="1E7828DC"/>
    <w:rsid w:val="1FA871F0"/>
    <w:rsid w:val="1FAE057F"/>
    <w:rsid w:val="20362A4E"/>
    <w:rsid w:val="20D44015"/>
    <w:rsid w:val="21893052"/>
    <w:rsid w:val="219C4B33"/>
    <w:rsid w:val="228719AD"/>
    <w:rsid w:val="22BD40F6"/>
    <w:rsid w:val="23D04F68"/>
    <w:rsid w:val="23DD1433"/>
    <w:rsid w:val="26105AEF"/>
    <w:rsid w:val="26774F4D"/>
    <w:rsid w:val="278F0C96"/>
    <w:rsid w:val="28341F69"/>
    <w:rsid w:val="287E4F92"/>
    <w:rsid w:val="29017971"/>
    <w:rsid w:val="29283150"/>
    <w:rsid w:val="298E7457"/>
    <w:rsid w:val="2A8820F8"/>
    <w:rsid w:val="2BB62C95"/>
    <w:rsid w:val="2C3A5674"/>
    <w:rsid w:val="2C5C383D"/>
    <w:rsid w:val="2C6D55AF"/>
    <w:rsid w:val="2CB35427"/>
    <w:rsid w:val="2D917516"/>
    <w:rsid w:val="2D964B2C"/>
    <w:rsid w:val="2DB43204"/>
    <w:rsid w:val="2E56250D"/>
    <w:rsid w:val="30542A7D"/>
    <w:rsid w:val="305A4537"/>
    <w:rsid w:val="30EA3253"/>
    <w:rsid w:val="316136A3"/>
    <w:rsid w:val="31AD68E8"/>
    <w:rsid w:val="32BA750F"/>
    <w:rsid w:val="32FD44E7"/>
    <w:rsid w:val="335214F5"/>
    <w:rsid w:val="3353526D"/>
    <w:rsid w:val="34403A44"/>
    <w:rsid w:val="35470E02"/>
    <w:rsid w:val="363C023B"/>
    <w:rsid w:val="369B31B3"/>
    <w:rsid w:val="372C02AF"/>
    <w:rsid w:val="37D22C05"/>
    <w:rsid w:val="385E68DE"/>
    <w:rsid w:val="393F42CA"/>
    <w:rsid w:val="3A0E1EEE"/>
    <w:rsid w:val="3B1005B0"/>
    <w:rsid w:val="3B693880"/>
    <w:rsid w:val="3C2F4ACA"/>
    <w:rsid w:val="3CDC62D4"/>
    <w:rsid w:val="3D3659E4"/>
    <w:rsid w:val="3DB86D41"/>
    <w:rsid w:val="3E015FF2"/>
    <w:rsid w:val="3EF9316D"/>
    <w:rsid w:val="41760AA5"/>
    <w:rsid w:val="419B050B"/>
    <w:rsid w:val="41EA1493"/>
    <w:rsid w:val="41FF0A9A"/>
    <w:rsid w:val="42F205FF"/>
    <w:rsid w:val="43081BD1"/>
    <w:rsid w:val="433429C6"/>
    <w:rsid w:val="43670FED"/>
    <w:rsid w:val="43C71A8C"/>
    <w:rsid w:val="451F76A5"/>
    <w:rsid w:val="45694DD6"/>
    <w:rsid w:val="45B778DE"/>
    <w:rsid w:val="4654337F"/>
    <w:rsid w:val="469F284C"/>
    <w:rsid w:val="4723522B"/>
    <w:rsid w:val="47503B46"/>
    <w:rsid w:val="47777325"/>
    <w:rsid w:val="47811F51"/>
    <w:rsid w:val="47E2796E"/>
    <w:rsid w:val="490C1CEF"/>
    <w:rsid w:val="49470F79"/>
    <w:rsid w:val="4AA541A9"/>
    <w:rsid w:val="4C4D68A6"/>
    <w:rsid w:val="4C771B75"/>
    <w:rsid w:val="4CCC3C6F"/>
    <w:rsid w:val="4CE70AA9"/>
    <w:rsid w:val="4D4C4DB0"/>
    <w:rsid w:val="4D5F0F87"/>
    <w:rsid w:val="4D665E71"/>
    <w:rsid w:val="4D761E2D"/>
    <w:rsid w:val="4D8B58D8"/>
    <w:rsid w:val="4DA60964"/>
    <w:rsid w:val="4FCB6460"/>
    <w:rsid w:val="50AD3DB7"/>
    <w:rsid w:val="52B551A5"/>
    <w:rsid w:val="52BC6534"/>
    <w:rsid w:val="542E520F"/>
    <w:rsid w:val="553E5926"/>
    <w:rsid w:val="56213494"/>
    <w:rsid w:val="56CD6F61"/>
    <w:rsid w:val="56DF0A43"/>
    <w:rsid w:val="57527466"/>
    <w:rsid w:val="586631C9"/>
    <w:rsid w:val="58D345D7"/>
    <w:rsid w:val="5A13336D"/>
    <w:rsid w:val="5A8C2C8F"/>
    <w:rsid w:val="5C5B0B6B"/>
    <w:rsid w:val="5D3E2967"/>
    <w:rsid w:val="5E0D40E7"/>
    <w:rsid w:val="5E134DFD"/>
    <w:rsid w:val="5E6A32E8"/>
    <w:rsid w:val="5E781EA8"/>
    <w:rsid w:val="5EC40C4A"/>
    <w:rsid w:val="5EFA466C"/>
    <w:rsid w:val="5F1C2834"/>
    <w:rsid w:val="5F4C0C3F"/>
    <w:rsid w:val="607361FD"/>
    <w:rsid w:val="615A5895"/>
    <w:rsid w:val="62C21944"/>
    <w:rsid w:val="637B1AF3"/>
    <w:rsid w:val="6381535B"/>
    <w:rsid w:val="63E47698"/>
    <w:rsid w:val="64ED07CF"/>
    <w:rsid w:val="652266CA"/>
    <w:rsid w:val="653B778C"/>
    <w:rsid w:val="65D8322D"/>
    <w:rsid w:val="66CA7019"/>
    <w:rsid w:val="6716400D"/>
    <w:rsid w:val="68354966"/>
    <w:rsid w:val="68534DEC"/>
    <w:rsid w:val="688212E4"/>
    <w:rsid w:val="68CD4B9F"/>
    <w:rsid w:val="69653029"/>
    <w:rsid w:val="69C2222A"/>
    <w:rsid w:val="69F939FA"/>
    <w:rsid w:val="6A667059"/>
    <w:rsid w:val="6A892D47"/>
    <w:rsid w:val="6AA45DD3"/>
    <w:rsid w:val="6B0469ED"/>
    <w:rsid w:val="6B1B7E43"/>
    <w:rsid w:val="6BA53BB1"/>
    <w:rsid w:val="6C0E1756"/>
    <w:rsid w:val="6D0A3BA6"/>
    <w:rsid w:val="6DA87988"/>
    <w:rsid w:val="6DDE33AA"/>
    <w:rsid w:val="6E4F28ED"/>
    <w:rsid w:val="6E7B6E4B"/>
    <w:rsid w:val="6EB34837"/>
    <w:rsid w:val="6F190B3E"/>
    <w:rsid w:val="6F1B38C5"/>
    <w:rsid w:val="7101188A"/>
    <w:rsid w:val="71AA1F21"/>
    <w:rsid w:val="72802C82"/>
    <w:rsid w:val="72F86CBC"/>
    <w:rsid w:val="75E860A8"/>
    <w:rsid w:val="761A519B"/>
    <w:rsid w:val="762878B8"/>
    <w:rsid w:val="770F7375"/>
    <w:rsid w:val="77FE6B23"/>
    <w:rsid w:val="78574485"/>
    <w:rsid w:val="78D23F5A"/>
    <w:rsid w:val="78F87A16"/>
    <w:rsid w:val="79A436FA"/>
    <w:rsid w:val="7A2D36EF"/>
    <w:rsid w:val="7B276391"/>
    <w:rsid w:val="7B2C39A7"/>
    <w:rsid w:val="7B38059E"/>
    <w:rsid w:val="7BC77B74"/>
    <w:rsid w:val="7C1E3C37"/>
    <w:rsid w:val="7C9E2682"/>
    <w:rsid w:val="7E2117BD"/>
    <w:rsid w:val="7EBE0DBA"/>
    <w:rsid w:val="7FAB3A34"/>
    <w:rsid w:val="7FB65F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582</Words>
  <Characters>588</Characters>
  <TotalTime>11</TotalTime>
  <ScaleCrop>false</ScaleCrop>
  <LinksUpToDate>false</LinksUpToDate>
  <CharactersWithSpaces>614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2024-05-10T10:47:00Z</dcterms:created>
  <dc:creator>Administrator</dc:creator>
  <cp:lastModifiedBy>admin</cp:lastModifiedBy>
  <dcterms:modified xsi:type="dcterms:W3CDTF">2024-09-19T02:37:56Z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2024-05-10T10:48:01Z</vt:filetime>
  </property>
  <property fmtid="{D5CDD505-2E9C-101B-9397-08002B2CF9AE}" pid="4" name="KSOProductBuildVer">
    <vt:lpwstr>2052-11.8.2.11718</vt:lpwstr>
  </property>
  <property fmtid="{D5CDD505-2E9C-101B-9397-08002B2CF9AE}" pid="5" name="ICV">
    <vt:lpwstr>37FDCBA6660F45158BA3CFBBDD9B92F0_12</vt:lpwstr>
  </property>
</Properties>
</file>