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广西壮族自治区公共资源交易平台系统交易档案管理子系统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sz w:val="48"/>
          <w:szCs w:val="48"/>
        </w:rPr>
        <w:t>交易中心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用户手册</w:t>
      </w:r>
    </w:p>
    <w:p>
      <w:pPr>
        <w:spacing w:line="360" w:lineRule="auto"/>
      </w:pPr>
    </w:p>
    <w:p>
      <w:pPr>
        <w:spacing w:line="360" w:lineRule="auto"/>
      </w:pPr>
    </w:p>
    <w:p>
      <w:pPr>
        <w:widowControl/>
        <w:spacing w:line="360" w:lineRule="auto"/>
        <w:jc w:val="left"/>
      </w:pPr>
      <w:r>
        <w:br w:type="page"/>
      </w:r>
    </w:p>
    <w:sdt>
      <w:sdtPr>
        <w:rPr>
          <w:lang w:val="zh-CN"/>
        </w:rPr>
        <w:id w:val="1323935681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 w:val="0"/>
          <w:bCs w:val="0"/>
          <w:color w:val="auto"/>
          <w:kern w:val="2"/>
          <w:sz w:val="21"/>
          <w:szCs w:val="24"/>
          <w:lang w:val="zh-CN"/>
        </w:rPr>
      </w:sdtEndPr>
      <w:sdtContent>
        <w:p>
          <w:pPr>
            <w:pStyle w:val="2"/>
            <w:numPr>
              <w:ilvl w:val="0"/>
              <w:numId w:val="0"/>
            </w:numPr>
            <w:bidi w:val="0"/>
            <w:ind w:leftChars="0"/>
            <w:jc w:val="center"/>
          </w:pPr>
          <w:bookmarkStart w:id="0" w:name="_Toc15500"/>
          <w:bookmarkStart w:id="16" w:name="_GoBack"/>
          <w:bookmarkEnd w:id="16"/>
          <w:r>
            <w:rPr>
              <w:lang w:val="zh-CN"/>
            </w:rPr>
            <w:t>目录</w:t>
          </w:r>
          <w:bookmarkEnd w:id="0"/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_Toc15500 </w:instrText>
          </w:r>
          <w:r>
            <w:fldChar w:fldCharType="separate"/>
          </w:r>
          <w:r>
            <w:rPr>
              <w:lang w:val="zh-CN"/>
            </w:rPr>
            <w:t>目录</w:t>
          </w:r>
          <w:r>
            <w:tab/>
          </w:r>
          <w:r>
            <w:fldChar w:fldCharType="begin"/>
          </w:r>
          <w:r>
            <w:instrText xml:space="preserve"> PAGEREF _Toc15500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_Toc7141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  <w:lang w:val="en-US" w:eastAsia="zh-CN"/>
            </w:rPr>
            <w:t xml:space="preserve">一、 </w:t>
          </w:r>
          <w:r>
            <w:rPr>
              <w:rFonts w:hint="eastAsia"/>
              <w:lang w:val="en-US" w:eastAsia="zh-CN"/>
            </w:rPr>
            <w:t>系统登录</w:t>
          </w:r>
          <w:r>
            <w:tab/>
          </w:r>
          <w:r>
            <w:fldChar w:fldCharType="begin"/>
          </w:r>
          <w:r>
            <w:instrText xml:space="preserve"> PAGEREF _Toc7141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_Toc19614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</w:rPr>
            <w:t xml:space="preserve">二、 </w:t>
          </w:r>
          <w:r>
            <w:rPr>
              <w:rFonts w:hint="eastAsia"/>
            </w:rPr>
            <w:t>档案</w:t>
          </w:r>
          <w:r>
            <w:rPr>
              <w:rFonts w:hint="eastAsia"/>
              <w:lang w:val="en-US" w:eastAsia="zh-CN"/>
            </w:rPr>
            <w:t>归档</w:t>
          </w:r>
          <w:r>
            <w:tab/>
          </w:r>
          <w:r>
            <w:fldChar w:fldCharType="begin"/>
          </w:r>
          <w:r>
            <w:instrText xml:space="preserve"> PAGEREF _Toc19614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_Toc24788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2.1. 文件归档</w:t>
          </w:r>
          <w:r>
            <w:tab/>
          </w:r>
          <w:r>
            <w:fldChar w:fldCharType="begin"/>
          </w:r>
          <w:r>
            <w:instrText xml:space="preserve"> PAGEREF _Toc24788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_Toc14592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2.1.1. </w:t>
          </w:r>
          <w:r>
            <w:rPr>
              <w:rFonts w:hint="eastAsia"/>
              <w:lang w:val="en-US" w:eastAsia="zh-CN"/>
            </w:rPr>
            <w:t>档案管理员发起归档</w:t>
          </w:r>
          <w:r>
            <w:tab/>
          </w:r>
          <w:r>
            <w:fldChar w:fldCharType="begin"/>
          </w:r>
          <w:r>
            <w:instrText xml:space="preserve"> PAGEREF _Toc14592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_Toc6726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2.1.2. </w:t>
          </w:r>
          <w:r>
            <w:rPr>
              <w:rFonts w:hint="eastAsia"/>
              <w:lang w:val="en-US" w:eastAsia="zh-CN"/>
            </w:rPr>
            <w:t>受理员确认</w:t>
          </w:r>
          <w:r>
            <w:tab/>
          </w:r>
          <w:r>
            <w:fldChar w:fldCharType="begin"/>
          </w:r>
          <w:r>
            <w:instrText xml:space="preserve"> PAGEREF _Toc6726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2.1.3. 开标助理员确认</w:t>
          </w:r>
          <w:r>
            <w:tab/>
          </w:r>
          <w:r>
            <w:fldChar w:fldCharType="begin"/>
          </w:r>
          <w:r>
            <w:instrText xml:space="preserve"> PAGEREF _Toc131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_Toc6481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2.1.4. 档案管理员确认</w:t>
          </w:r>
          <w:r>
            <w:tab/>
          </w:r>
          <w:r>
            <w:fldChar w:fldCharType="begin"/>
          </w:r>
          <w:r>
            <w:instrText xml:space="preserve"> PAGEREF _Toc6481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_Toc28491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2.2. 视频归档</w:t>
          </w:r>
          <w:r>
            <w:tab/>
          </w:r>
          <w:r>
            <w:fldChar w:fldCharType="begin"/>
          </w:r>
          <w:r>
            <w:instrText xml:space="preserve"> PAGEREF _Toc28491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_Toc17247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2.2.1. 项目信息确认</w:t>
          </w:r>
          <w:r>
            <w:tab/>
          </w:r>
          <w:r>
            <w:fldChar w:fldCharType="begin"/>
          </w:r>
          <w:r>
            <w:instrText xml:space="preserve"> PAGEREF _Toc17247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_Toc24455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2.2.2. 视频截取</w:t>
          </w:r>
          <w:r>
            <w:tab/>
          </w:r>
          <w:r>
            <w:fldChar w:fldCharType="begin"/>
          </w:r>
          <w:r>
            <w:instrText xml:space="preserve"> PAGEREF _Toc24455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1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_Toc12946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2.2.3. 视频档案确认</w:t>
          </w:r>
          <w:r>
            <w:tab/>
          </w:r>
          <w:r>
            <w:fldChar w:fldCharType="begin"/>
          </w:r>
          <w:r>
            <w:instrText xml:space="preserve"> PAGEREF _Toc12946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_Toc12507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宋体" w:hAnsi="宋体" w:eastAsia="宋体" w:cs="宋体"/>
            </w:rPr>
            <w:t xml:space="preserve">三、 </w:t>
          </w:r>
          <w:r>
            <w:rPr>
              <w:rFonts w:hint="eastAsia"/>
            </w:rPr>
            <w:t>档案借阅</w:t>
          </w:r>
          <w:r>
            <w:tab/>
          </w:r>
          <w:r>
            <w:fldChar w:fldCharType="begin"/>
          </w:r>
          <w:r>
            <w:instrText xml:space="preserve"> PAGEREF _Toc12507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_Toc17912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3.1. </w:t>
          </w:r>
          <w:r>
            <w:rPr>
              <w:rFonts w:hint="eastAsia"/>
              <w:lang w:val="en-US" w:eastAsia="zh-CN"/>
            </w:rPr>
            <w:t>档案借阅</w:t>
          </w:r>
          <w:r>
            <w:tab/>
          </w:r>
          <w:r>
            <w:fldChar w:fldCharType="begin"/>
          </w:r>
          <w:r>
            <w:instrText xml:space="preserve"> PAGEREF _Toc17912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_Toc13350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3.2. 档案借阅审批</w:t>
          </w:r>
          <w:r>
            <w:tab/>
          </w:r>
          <w:r>
            <w:fldChar w:fldCharType="begin"/>
          </w:r>
          <w:r>
            <w:instrText xml:space="preserve"> PAGEREF _Toc13350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_Toc2234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3.3. 档案归还审批</w:t>
          </w:r>
          <w:r>
            <w:tab/>
          </w:r>
          <w:r>
            <w:fldChar w:fldCharType="begin"/>
          </w:r>
          <w:r>
            <w:instrText xml:space="preserve"> PAGEREF _Toc2234 \h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spacing w:line="360" w:lineRule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spacing w:line="360" w:lineRule="auto"/>
        <w:jc w:val="left"/>
      </w:pPr>
      <w:r>
        <w:br w:type="page"/>
      </w:r>
    </w:p>
    <w:p>
      <w:pPr>
        <w:pStyle w:val="2"/>
        <w:bidi w:val="0"/>
        <w:ind w:left="432" w:leftChars="0" w:hanging="432" w:firstLineChars="0"/>
        <w:rPr>
          <w:rFonts w:hint="eastAsia"/>
          <w:lang w:val="en-US" w:eastAsia="zh-CN"/>
        </w:rPr>
      </w:pPr>
      <w:bookmarkStart w:id="1" w:name="_Toc7141"/>
      <w:r>
        <w:rPr>
          <w:rFonts w:hint="eastAsia"/>
          <w:lang w:val="en-US" w:eastAsia="zh-CN"/>
        </w:rPr>
        <w:t>系统登录</w:t>
      </w:r>
      <w:bookmarkEnd w:id="1"/>
    </w:p>
    <w:p>
      <w:pPr>
        <w:spacing w:line="360" w:lineRule="auto"/>
        <w:rPr>
          <w:szCs w:val="21"/>
        </w:rPr>
      </w:pPr>
      <w:r>
        <w:rPr>
          <w:rFonts w:hint="eastAsia"/>
          <w:szCs w:val="21"/>
        </w:rPr>
        <w:t>1、打开【广西壮族自治区公共资源交易平台系统】网址：</w:t>
      </w:r>
    </w:p>
    <w:p>
      <w:pPr>
        <w:spacing w:line="360" w:lineRule="auto"/>
        <w:ind w:firstLine="420" w:firstLineChars="200"/>
        <w:rPr>
          <w:szCs w:val="21"/>
        </w:rPr>
      </w:pPr>
      <w:r>
        <w:rPr>
          <w:szCs w:val="21"/>
        </w:rPr>
        <w:t>http://202.103.240.162:808</w:t>
      </w:r>
      <w:r>
        <w:rPr>
          <w:rFonts w:hint="eastAsia"/>
          <w:szCs w:val="21"/>
          <w:lang w:val="en-US" w:eastAsia="zh-CN"/>
        </w:rPr>
        <w:t>2</w:t>
      </w:r>
      <w:r>
        <w:rPr>
          <w:szCs w:val="21"/>
        </w:rPr>
        <w:t>/GgzyjySSO/login/oauth2login</w:t>
      </w:r>
      <w:r>
        <w:rPr>
          <w:rFonts w:hint="eastAsia"/>
          <w:szCs w:val="21"/>
        </w:rPr>
        <w:t>，输入账号及密码登录系统。</w:t>
      </w:r>
    </w:p>
    <w:p>
      <w:pPr>
        <w:spacing w:line="360" w:lineRule="auto"/>
        <w:rPr>
          <w:szCs w:val="21"/>
        </w:rPr>
      </w:pPr>
      <w:r>
        <w:drawing>
          <wp:inline distT="0" distB="0" distL="0" distR="0">
            <wp:extent cx="5274310" cy="2689225"/>
            <wp:effectExtent l="0" t="0" r="2540" b="1587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89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2"/>
        <w:bidi w:val="0"/>
        <w:ind w:left="432" w:leftChars="0" w:hanging="432" w:firstLineChars="0"/>
      </w:pPr>
      <w:bookmarkStart w:id="2" w:name="_Toc19614"/>
      <w:r>
        <w:rPr>
          <w:rFonts w:hint="eastAsia"/>
        </w:rPr>
        <w:t>档案</w:t>
      </w:r>
      <w:r>
        <w:rPr>
          <w:rFonts w:hint="eastAsia"/>
          <w:lang w:val="en-US" w:eastAsia="zh-CN"/>
        </w:rPr>
        <w:t>归档</w:t>
      </w:r>
      <w:bookmarkEnd w:id="2"/>
    </w:p>
    <w:p>
      <w:pPr>
        <w:pStyle w:val="3"/>
        <w:bidi w:val="0"/>
        <w:ind w:left="575" w:leftChars="0" w:hanging="575" w:firstLineChars="0"/>
      </w:pPr>
      <w:bookmarkStart w:id="3" w:name="_Toc24788"/>
      <w:r>
        <w:rPr>
          <w:rFonts w:hint="eastAsia"/>
        </w:rPr>
        <w:t>文件归档</w:t>
      </w:r>
      <w:bookmarkEnd w:id="3"/>
    </w:p>
    <w:p>
      <w:pPr>
        <w:widowControl/>
        <w:spacing w:line="360" w:lineRule="auto"/>
        <w:jc w:val="left"/>
        <w:rPr>
          <w:rFonts w:hint="eastAsia" w:ascii="Times New Roman" w:hAnsi="Times New Roman" w:eastAsia="宋体" w:cs="Times New Roman"/>
        </w:rPr>
      </w:pPr>
      <w:r>
        <w:rPr>
          <w:rFonts w:hint="eastAsia" w:ascii="Times New Roman" w:hAnsi="Times New Roman" w:eastAsia="宋体" w:cs="Times New Roman"/>
        </w:rPr>
        <w:t>文件归档流程如下：</w:t>
      </w:r>
    </w:p>
    <w:p>
      <w:pPr>
        <w:widowControl/>
        <w:spacing w:line="360" w:lineRule="auto"/>
        <w:jc w:val="left"/>
        <w:rPr>
          <w:rFonts w:hint="eastAsia" w:ascii="Times New Roman" w:hAnsi="Times New Roman" w:eastAsia="宋体" w:cs="Times New Roman"/>
        </w:rPr>
      </w:pPr>
      <w:r>
        <w:drawing>
          <wp:inline distT="0" distB="0" distL="114300" distR="114300">
            <wp:extent cx="5270500" cy="1469390"/>
            <wp:effectExtent l="0" t="0" r="6350" b="16510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720" w:leftChars="0" w:hanging="720" w:firstLineChars="0"/>
        <w:rPr>
          <w:rFonts w:hint="eastAsia"/>
        </w:rPr>
      </w:pPr>
      <w:bookmarkStart w:id="4" w:name="_Toc14592"/>
      <w:r>
        <w:rPr>
          <w:rFonts w:hint="eastAsia"/>
          <w:lang w:val="en-US" w:eastAsia="zh-CN"/>
        </w:rPr>
        <w:t>档案管理员发起归档</w:t>
      </w:r>
      <w:bookmarkEnd w:id="4"/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档案管理员在“发起归档”菜单，选择未归档的项目。</w:t>
      </w:r>
    </w:p>
    <w:p>
      <w:pPr>
        <w:spacing w:line="360" w:lineRule="auto"/>
      </w:pPr>
      <w:r>
        <w:drawing>
          <wp:inline distT="0" distB="0" distL="114300" distR="114300">
            <wp:extent cx="5271770" cy="2500630"/>
            <wp:effectExtent l="0" t="0" r="5080" b="13970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eastAsia"/>
          <w:szCs w:val="21"/>
        </w:rPr>
      </w:pPr>
      <w:r>
        <w:rPr>
          <w:rFonts w:hint="eastAsia"/>
          <w:lang w:val="en-US" w:eastAsia="zh-CN"/>
        </w:rPr>
        <w:t>点击“</w:t>
      </w:r>
      <w:r>
        <w:drawing>
          <wp:inline distT="0" distB="0" distL="114300" distR="114300">
            <wp:extent cx="247650" cy="257175"/>
            <wp:effectExtent l="0" t="0" r="0" b="9525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”，</w:t>
      </w:r>
      <w:r>
        <w:rPr>
          <w:rFonts w:hint="eastAsia"/>
          <w:szCs w:val="21"/>
        </w:rPr>
        <w:t>在项目信息页面，页面展示项目标段信息。点击标段后对应的编辑按键，可以进入到文件档案的编辑页面：</w:t>
      </w:r>
    </w:p>
    <w:p>
      <w:pPr>
        <w:spacing w:line="360" w:lineRule="auto"/>
      </w:pPr>
      <w:r>
        <w:drawing>
          <wp:inline distT="0" distB="0" distL="114300" distR="114300">
            <wp:extent cx="5267325" cy="2231390"/>
            <wp:effectExtent l="0" t="0" r="9525" b="16510"/>
            <wp:docPr id="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231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</w:pPr>
      <w:r>
        <w:rPr>
          <w:rFonts w:hint="eastAsia"/>
          <w:szCs w:val="21"/>
        </w:rPr>
        <w:t>页面按照“项目招标、投标、开标、评标、定标”展示各个环节中相关电子文件。如有需要，</w:t>
      </w:r>
      <w:r>
        <w:rPr>
          <w:rFonts w:hint="eastAsia"/>
          <w:szCs w:val="21"/>
          <w:lang w:val="en-US" w:eastAsia="zh-CN"/>
        </w:rPr>
        <w:t>档案管理员</w:t>
      </w:r>
      <w:r>
        <w:rPr>
          <w:rFonts w:hint="eastAsia"/>
          <w:szCs w:val="21"/>
        </w:rPr>
        <w:t>可在对应的环节补传相关材料。</w:t>
      </w:r>
      <w:r>
        <w:rPr>
          <w:rFonts w:hint="eastAsia"/>
          <w:szCs w:val="21"/>
          <w:lang w:val="en-US" w:eastAsia="zh-CN"/>
        </w:rPr>
        <w:t>档案管理员</w:t>
      </w:r>
      <w:r>
        <w:rPr>
          <w:rFonts w:hint="eastAsia"/>
          <w:szCs w:val="21"/>
        </w:rPr>
        <w:t>检查文件材料信息，确认无误后，可返回到上一级页面</w:t>
      </w:r>
      <w:r>
        <w:rPr>
          <w:rFonts w:hint="eastAsia"/>
          <w:szCs w:val="21"/>
          <w:lang w:eastAsia="zh-CN"/>
        </w:rPr>
        <w:t>。</w:t>
      </w:r>
    </w:p>
    <w:p>
      <w:pPr>
        <w:spacing w:line="360" w:lineRule="auto"/>
      </w:pPr>
      <w:r>
        <w:drawing>
          <wp:inline distT="0" distB="0" distL="114300" distR="114300">
            <wp:extent cx="5260975" cy="2511425"/>
            <wp:effectExtent l="0" t="0" r="15875" b="3175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1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/>
          <w:lang w:val="en-US" w:eastAsia="zh-CN"/>
        </w:rPr>
      </w:pPr>
      <w:r>
        <w:rPr>
          <w:rFonts w:hint="eastAsia"/>
          <w:szCs w:val="21"/>
          <w:lang w:val="en-US" w:eastAsia="zh-CN"/>
        </w:rPr>
        <w:t>档案管理员</w:t>
      </w:r>
      <w:r>
        <w:rPr>
          <w:rFonts w:hint="eastAsia"/>
          <w:szCs w:val="21"/>
        </w:rPr>
        <w:t>确认各个标段的文件档案无误后，点击页面左上角的提交归档。提交后流程提交给当地</w:t>
      </w:r>
      <w:r>
        <w:rPr>
          <w:rFonts w:hint="eastAsia"/>
          <w:szCs w:val="21"/>
          <w:lang w:val="en-US" w:eastAsia="zh-CN"/>
        </w:rPr>
        <w:t>的受理人员和开标助理员</w:t>
      </w:r>
      <w:r>
        <w:rPr>
          <w:rFonts w:hint="eastAsia"/>
          <w:szCs w:val="21"/>
        </w:rPr>
        <w:t>进行相关确认。</w:t>
      </w:r>
    </w:p>
    <w:p>
      <w:pPr>
        <w:pStyle w:val="4"/>
        <w:bidi w:val="0"/>
        <w:ind w:left="720" w:leftChars="0" w:hanging="720" w:firstLineChars="0"/>
        <w:rPr>
          <w:rFonts w:hint="eastAsia"/>
        </w:rPr>
      </w:pPr>
      <w:bookmarkStart w:id="5" w:name="_Toc6726"/>
      <w:r>
        <w:rPr>
          <w:rFonts w:hint="eastAsia"/>
          <w:lang w:val="en-US" w:eastAsia="zh-CN"/>
        </w:rPr>
        <w:t>受理员确认</w:t>
      </w:r>
      <w:bookmarkEnd w:id="5"/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eastAsia="zh-CN"/>
        </w:rPr>
        <w:t>档案管理员</w:t>
      </w:r>
      <w:r>
        <w:t>提交</w:t>
      </w:r>
      <w:r>
        <w:rPr>
          <w:rFonts w:hint="eastAsia"/>
          <w:szCs w:val="21"/>
          <w:lang w:val="en-US" w:eastAsia="zh-CN"/>
        </w:rPr>
        <w:t>文件</w:t>
      </w:r>
      <w:r>
        <w:t>档案归档流程后，</w:t>
      </w:r>
      <w:r>
        <w:rPr>
          <w:rFonts w:hint="eastAsia"/>
          <w:lang w:val="en-US" w:eastAsia="zh-CN"/>
        </w:rPr>
        <w:t>受理员</w:t>
      </w:r>
      <w:r>
        <w:t>进行确认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项目对应的受理员登录系统后，</w:t>
      </w:r>
      <w:r>
        <w:t>在待办事宜处可以看见对应的待办信息。点击后可以查看</w:t>
      </w:r>
      <w:r>
        <w:rPr>
          <w:rFonts w:hint="eastAsia"/>
          <w:szCs w:val="21"/>
        </w:rPr>
        <w:t>“项目招标、投标”</w:t>
      </w:r>
      <w:r>
        <w:rPr>
          <w:rFonts w:hint="eastAsia"/>
          <w:szCs w:val="21"/>
          <w:lang w:val="en-US" w:eastAsia="zh-CN"/>
        </w:rPr>
        <w:t>环节</w:t>
      </w:r>
      <w:r>
        <w:t>文件归档详情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73675" cy="1181100"/>
            <wp:effectExtent l="0" t="0" r="3175" b="0"/>
            <wp:docPr id="3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进入待办页面后，展示内容如下图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</w:t>
      </w:r>
      <w:r>
        <w:drawing>
          <wp:inline distT="0" distB="0" distL="114300" distR="114300">
            <wp:extent cx="285750" cy="266700"/>
            <wp:effectExtent l="0" t="0" r="0" b="0"/>
            <wp:docPr id="4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”查看归档的的文件。</w:t>
      </w:r>
    </w:p>
    <w:p>
      <w:pPr>
        <w:numPr>
          <w:ilvl w:val="0"/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70500" cy="1631950"/>
            <wp:effectExtent l="0" t="0" r="6350" b="6350"/>
            <wp:docPr id="3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确认</w:t>
      </w:r>
      <w:r>
        <w:rPr>
          <w:rFonts w:hint="eastAsia"/>
          <w:szCs w:val="21"/>
        </w:rPr>
        <w:t>“项目招标、投标”</w:t>
      </w:r>
      <w:r>
        <w:rPr>
          <w:rFonts w:hint="eastAsia"/>
          <w:szCs w:val="21"/>
          <w:lang w:val="en-US" w:eastAsia="zh-CN"/>
        </w:rPr>
        <w:t>环节</w:t>
      </w:r>
      <w:r>
        <w:t>文件归档详情</w:t>
      </w:r>
      <w:r>
        <w:rPr>
          <w:rFonts w:hint="eastAsia"/>
          <w:lang w:eastAsia="zh-CN"/>
        </w:rPr>
        <w:t>，</w:t>
      </w:r>
      <w:r>
        <w:rPr>
          <w:rFonts w:hint="eastAsia"/>
          <w:szCs w:val="21"/>
        </w:rPr>
        <w:t>如有需要，可在对应的环节补传相关材料</w:t>
      </w:r>
      <w:r>
        <w:rPr>
          <w:rFonts w:hint="eastAsia"/>
          <w:szCs w:val="21"/>
          <w:lang w:eastAsia="zh-CN"/>
        </w:rPr>
        <w:t>。</w:t>
      </w:r>
      <w:r>
        <w:rPr>
          <w:rFonts w:hint="eastAsia"/>
          <w:szCs w:val="21"/>
        </w:rPr>
        <w:t>检查文件材料信息，确认无误后，可返回到上一级页面</w:t>
      </w:r>
      <w:r>
        <w:rPr>
          <w:rFonts w:hint="eastAsia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</w:rPr>
      </w:pPr>
      <w:r>
        <w:drawing>
          <wp:inline distT="0" distB="0" distL="114300" distR="114300">
            <wp:extent cx="5264150" cy="2817495"/>
            <wp:effectExtent l="0" t="0" r="12700" b="1905"/>
            <wp:docPr id="4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817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左上角是</w:t>
      </w:r>
      <w:r>
        <w:rPr>
          <w:rFonts w:hint="eastAsia"/>
          <w:lang w:val="en-US" w:eastAsia="zh-CN"/>
        </w:rPr>
        <w:t>确认</w:t>
      </w:r>
      <w:r>
        <w:rPr>
          <w:rFonts w:hint="eastAsia"/>
        </w:rPr>
        <w:t>处理键。点击</w:t>
      </w:r>
      <w:r>
        <w:rPr>
          <w:rFonts w:hint="eastAsia"/>
          <w:lang w:val="en-US" w:eastAsia="zh-CN"/>
        </w:rPr>
        <w:t>确认，待开标助理员确认后</w:t>
      </w:r>
      <w:r>
        <w:rPr>
          <w:rFonts w:hint="eastAsia"/>
        </w:rPr>
        <w:t>流程跳转到下一步，</w:t>
      </w:r>
      <w:r>
        <w:rPr>
          <w:rFonts w:hint="eastAsia"/>
          <w:lang w:val="en-US" w:eastAsia="zh-CN"/>
        </w:rPr>
        <w:t>若有异议请线下沟通</w:t>
      </w:r>
      <w:r>
        <w:rPr>
          <w:rFonts w:hint="eastAsia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</w:rPr>
      </w:pPr>
      <w:r>
        <w:drawing>
          <wp:inline distT="0" distB="0" distL="114300" distR="114300">
            <wp:extent cx="5259705" cy="1937385"/>
            <wp:effectExtent l="0" t="0" r="17145" b="5715"/>
            <wp:docPr id="4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720" w:leftChars="0" w:hanging="720" w:firstLineChars="0"/>
        <w:rPr>
          <w:rFonts w:hint="eastAsia"/>
        </w:rPr>
      </w:pPr>
      <w:bookmarkStart w:id="6" w:name="_Toc131"/>
      <w:r>
        <w:rPr>
          <w:rFonts w:hint="eastAsia"/>
        </w:rPr>
        <w:t>开标助理员确认</w:t>
      </w:r>
      <w:bookmarkEnd w:id="6"/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eastAsia="zh-CN"/>
        </w:rPr>
        <w:t>档案管理员</w:t>
      </w:r>
      <w:r>
        <w:rPr>
          <w:rFonts w:hint="eastAsia"/>
        </w:rPr>
        <w:t>提交</w:t>
      </w:r>
      <w:r>
        <w:rPr>
          <w:rFonts w:hint="eastAsia"/>
          <w:szCs w:val="21"/>
          <w:lang w:val="en-US" w:eastAsia="zh-CN"/>
        </w:rPr>
        <w:t>文件</w:t>
      </w:r>
      <w:r>
        <w:t>档案归档流程后，</w:t>
      </w:r>
      <w:r>
        <w:rPr>
          <w:rFonts w:hint="eastAsia"/>
          <w:lang w:val="en-US" w:eastAsia="zh-CN"/>
        </w:rPr>
        <w:t>开标助理员</w:t>
      </w:r>
      <w:r>
        <w:t>进行确认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项目对应的受理员登录系统后，</w:t>
      </w:r>
      <w:r>
        <w:t>在待办事宜处可以看见对应的待办信息。点击后可以查看</w:t>
      </w:r>
      <w:r>
        <w:rPr>
          <w:rFonts w:hint="eastAsia"/>
          <w:szCs w:val="21"/>
        </w:rPr>
        <w:t>“开标、评标、定标”</w:t>
      </w:r>
      <w:r>
        <w:rPr>
          <w:rFonts w:hint="eastAsia"/>
          <w:szCs w:val="21"/>
          <w:lang w:val="en-US" w:eastAsia="zh-CN"/>
        </w:rPr>
        <w:t>环节</w:t>
      </w:r>
      <w:r>
        <w:t>文件归档详情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69865" cy="1334770"/>
            <wp:effectExtent l="0" t="0" r="6985" b="17780"/>
            <wp:docPr id="5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进入待办页面后，展示内容如下图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点击“</w:t>
      </w:r>
      <w:r>
        <w:drawing>
          <wp:inline distT="0" distB="0" distL="114300" distR="114300">
            <wp:extent cx="285750" cy="266700"/>
            <wp:effectExtent l="0" t="0" r="0" b="0"/>
            <wp:docPr id="4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0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>”查看归档的的文件。</w:t>
      </w:r>
    </w:p>
    <w:p>
      <w:pPr>
        <w:numPr>
          <w:ilvl w:val="0"/>
          <w:numId w:val="0"/>
        </w:numPr>
        <w:spacing w:line="360" w:lineRule="auto"/>
        <w:ind w:leftChars="0"/>
      </w:pPr>
      <w:r>
        <w:drawing>
          <wp:inline distT="0" distB="0" distL="114300" distR="114300">
            <wp:extent cx="5270500" cy="1631950"/>
            <wp:effectExtent l="0" t="0" r="6350" b="6350"/>
            <wp:docPr id="46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63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</w:pPr>
      <w:r>
        <w:rPr>
          <w:rFonts w:hint="eastAsia"/>
          <w:lang w:val="en-US" w:eastAsia="zh-CN"/>
        </w:rPr>
        <w:t>确认</w:t>
      </w:r>
      <w:r>
        <w:rPr>
          <w:rFonts w:hint="eastAsia"/>
          <w:szCs w:val="21"/>
        </w:rPr>
        <w:t>“开标、评标、定标”</w:t>
      </w:r>
      <w:r>
        <w:rPr>
          <w:rFonts w:hint="eastAsia"/>
          <w:szCs w:val="21"/>
          <w:lang w:val="en-US" w:eastAsia="zh-CN"/>
        </w:rPr>
        <w:t>环节</w:t>
      </w:r>
      <w:r>
        <w:t>文件归档详情</w:t>
      </w:r>
      <w:r>
        <w:rPr>
          <w:rFonts w:hint="eastAsia"/>
          <w:lang w:eastAsia="zh-CN"/>
        </w:rPr>
        <w:t>，</w:t>
      </w:r>
      <w:r>
        <w:rPr>
          <w:rFonts w:hint="eastAsia"/>
          <w:szCs w:val="21"/>
        </w:rPr>
        <w:t>如有需要，可在对应的环节补传相关材料</w:t>
      </w:r>
      <w:r>
        <w:rPr>
          <w:rFonts w:hint="eastAsia"/>
          <w:szCs w:val="21"/>
          <w:lang w:eastAsia="zh-CN"/>
        </w:rPr>
        <w:t>。</w:t>
      </w:r>
      <w:r>
        <w:rPr>
          <w:rFonts w:hint="eastAsia"/>
          <w:szCs w:val="21"/>
        </w:rPr>
        <w:t>检查文件材料信息，确认无误后，可返回到上一级页面</w:t>
      </w:r>
      <w:r>
        <w:rPr>
          <w:rFonts w:hint="eastAsia"/>
          <w:szCs w:val="21"/>
          <w:lang w:eastAsia="zh-CN"/>
        </w:rPr>
        <w:t>。</w:t>
      </w:r>
    </w:p>
    <w:p>
      <w:pPr>
        <w:numPr>
          <w:ilvl w:val="0"/>
          <w:numId w:val="4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左上角是</w:t>
      </w:r>
      <w:r>
        <w:rPr>
          <w:rFonts w:hint="eastAsia"/>
          <w:lang w:val="en-US" w:eastAsia="zh-CN"/>
        </w:rPr>
        <w:t>确认</w:t>
      </w:r>
      <w:r>
        <w:rPr>
          <w:rFonts w:hint="eastAsia"/>
        </w:rPr>
        <w:t>处理键。点击</w:t>
      </w:r>
      <w:r>
        <w:rPr>
          <w:rFonts w:hint="eastAsia"/>
          <w:lang w:val="en-US" w:eastAsia="zh-CN"/>
        </w:rPr>
        <w:t>确认，受理员和开标助理员同时确认后</w:t>
      </w:r>
      <w:r>
        <w:rPr>
          <w:rFonts w:hint="eastAsia"/>
        </w:rPr>
        <w:t>流程跳转到下一步。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eastAsia"/>
        </w:rPr>
      </w:pPr>
      <w:r>
        <w:drawing>
          <wp:inline distT="0" distB="0" distL="114300" distR="114300">
            <wp:extent cx="5259705" cy="1937385"/>
            <wp:effectExtent l="0" t="0" r="17145" b="5715"/>
            <wp:docPr id="4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193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0"/>
        </w:numPr>
        <w:spacing w:line="360" w:lineRule="auto"/>
        <w:jc w:val="both"/>
        <w:rPr>
          <w:rFonts w:hint="eastAsia"/>
          <w:lang w:eastAsia="zh-CN"/>
        </w:rPr>
      </w:pPr>
    </w:p>
    <w:p>
      <w:pPr>
        <w:pStyle w:val="4"/>
        <w:bidi w:val="0"/>
        <w:ind w:left="720" w:leftChars="0" w:hanging="720" w:firstLineChars="0"/>
        <w:rPr>
          <w:rFonts w:hint="eastAsia"/>
        </w:rPr>
      </w:pPr>
      <w:bookmarkStart w:id="7" w:name="_Toc6481"/>
      <w:r>
        <w:rPr>
          <w:rFonts w:hint="eastAsia"/>
        </w:rPr>
        <w:t>档案管理员确认</w:t>
      </w:r>
      <w:bookmarkEnd w:id="7"/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  <w:lang w:val="en-US" w:eastAsia="zh-CN"/>
        </w:rPr>
        <w:t>受理员和</w:t>
      </w:r>
      <w:r>
        <w:t>开标助理员</w:t>
      </w:r>
      <w:r>
        <w:rPr>
          <w:rFonts w:hint="eastAsia"/>
          <w:lang w:val="en-US" w:eastAsia="zh-CN"/>
        </w:rPr>
        <w:t>确认</w:t>
      </w:r>
      <w:r>
        <w:t>文件归档流程后，由档案管理员进行下一步的确认。档案管理员登录系统后，在待办事宜处可以看见对应的待办信息。点击后可以查看文件归档详情。</w:t>
      </w:r>
    </w:p>
    <w:p>
      <w:pPr>
        <w:rPr>
          <w:rFonts w:hint="eastAsia"/>
        </w:rPr>
      </w:pPr>
      <w:r>
        <w:drawing>
          <wp:inline distT="0" distB="0" distL="114300" distR="114300">
            <wp:extent cx="5267325" cy="2099310"/>
            <wp:effectExtent l="0" t="0" r="9525" b="15240"/>
            <wp:docPr id="5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在详情页由档案管理员填写题名、密级和管理期限等信息。点击档案预览可以查看文件档案详情，如下图所示：</w:t>
      </w:r>
    </w:p>
    <w:p>
      <w:pPr>
        <w:rPr>
          <w:rFonts w:hint="eastAsia"/>
        </w:rPr>
      </w:pPr>
      <w:r>
        <w:drawing>
          <wp:inline distT="0" distB="0" distL="0" distR="0">
            <wp:extent cx="5274310" cy="2839720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162687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2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spacing w:line="360" w:lineRule="auto"/>
        <w:ind w:left="425" w:leftChars="0" w:hanging="425" w:firstLineChars="0"/>
        <w:rPr>
          <w:rFonts w:hint="eastAsia"/>
        </w:rPr>
      </w:pPr>
      <w:r>
        <w:rPr>
          <w:rFonts w:hint="eastAsia"/>
        </w:rPr>
        <w:t>文件档案信息确认无误后，填写处理意见，点击左上角的同意，文件档案归档成功。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点击页面上方的档案管理-</w:t>
      </w:r>
      <w:r>
        <w:rPr>
          <w:rFonts w:hint="eastAsia"/>
          <w:lang w:val="en-US" w:eastAsia="zh-CN"/>
        </w:rPr>
        <w:t>发起</w:t>
      </w:r>
      <w:r>
        <w:rPr>
          <w:rFonts w:hint="eastAsia"/>
        </w:rPr>
        <w:t>归档，可以在已归档状态中，找到之前已归档完成的项目信息。</w:t>
      </w:r>
    </w:p>
    <w:p>
      <w:r>
        <w:drawing>
          <wp:inline distT="0" distB="0" distL="114300" distR="114300">
            <wp:extent cx="5268595" cy="2339975"/>
            <wp:effectExtent l="0" t="0" r="8255" b="3175"/>
            <wp:docPr id="5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3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szCs w:val="21"/>
        </w:rPr>
      </w:pPr>
      <w:r>
        <w:rPr>
          <w:szCs w:val="21"/>
        </w:rPr>
        <w:br w:type="page"/>
      </w:r>
    </w:p>
    <w:p>
      <w:pPr>
        <w:pStyle w:val="3"/>
        <w:bidi w:val="0"/>
        <w:ind w:left="575" w:leftChars="0" w:hanging="575" w:firstLineChars="0"/>
      </w:pPr>
      <w:bookmarkStart w:id="8" w:name="_Toc28491"/>
      <w:r>
        <w:rPr>
          <w:rFonts w:hint="eastAsia"/>
        </w:rPr>
        <w:t>视频归档</w:t>
      </w:r>
      <w:bookmarkEnd w:id="8"/>
    </w:p>
    <w:p>
      <w:pPr>
        <w:spacing w:line="360" w:lineRule="auto"/>
      </w:pPr>
      <w:r>
        <w:rPr>
          <w:rFonts w:hint="eastAsia" w:ascii="Times New Roman" w:hAnsi="Times New Roman" w:eastAsia="宋体" w:cs="Times New Roman"/>
        </w:rPr>
        <w:t>文件归档流程如下：</w:t>
      </w:r>
    </w:p>
    <w:p>
      <w:pPr>
        <w:spacing w:line="360" w:lineRule="auto"/>
        <w:rPr>
          <w:szCs w:val="21"/>
        </w:rPr>
      </w:pPr>
      <w:r>
        <w:drawing>
          <wp:inline distT="0" distB="0" distL="0" distR="0">
            <wp:extent cx="5274310" cy="143383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33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bidi w:val="0"/>
        <w:ind w:left="720" w:leftChars="0" w:hanging="720" w:firstLineChars="0"/>
      </w:pPr>
      <w:bookmarkStart w:id="9" w:name="_Toc17247"/>
      <w:r>
        <w:rPr>
          <w:rFonts w:hint="eastAsia"/>
        </w:rPr>
        <w:t>项目信息确认</w:t>
      </w:r>
      <w:bookmarkEnd w:id="9"/>
    </w:p>
    <w:p>
      <w:pPr>
        <w:numPr>
          <w:ilvl w:val="0"/>
          <w:numId w:val="6"/>
        </w:numPr>
        <w:spacing w:line="360" w:lineRule="auto"/>
        <w:ind w:left="425" w:leftChars="0" w:hanging="425" w:firstLineChars="0"/>
      </w:pPr>
      <w:r>
        <w:rPr>
          <w:rFonts w:hint="eastAsia"/>
        </w:rPr>
        <w:t>交易中心视频专员登录系统后，点击页面中上部的“档案管理”，选择“视频归档”，页面会出现视频归档的项目信息。可以根据右上角不同的状态展示不同的项目信息状态。选择需要进行视频归档的项目，点击操作按键。</w:t>
      </w:r>
    </w:p>
    <w:p>
      <w:pPr>
        <w:spacing w:line="360" w:lineRule="auto"/>
      </w:pPr>
      <w:r>
        <w:drawing>
          <wp:inline distT="0" distB="0" distL="0" distR="0">
            <wp:extent cx="5274310" cy="200215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2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line="360" w:lineRule="auto"/>
        <w:ind w:left="425" w:leftChars="0" w:hanging="425" w:firstLineChars="0"/>
      </w:pPr>
      <w:r>
        <w:rPr>
          <w:rFonts w:hint="eastAsia"/>
        </w:rPr>
        <w:t>在视频归档信息页面，对项目视频对应的信息进行确认。</w:t>
      </w:r>
    </w:p>
    <w:p>
      <w:pPr>
        <w:spacing w:line="360" w:lineRule="auto"/>
      </w:pPr>
      <w:r>
        <w:drawing>
          <wp:inline distT="0" distB="0" distL="0" distR="0">
            <wp:extent cx="5274310" cy="17684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9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</w:rPr>
        <w:t>页面左上角按键功能：</w:t>
      </w:r>
    </w:p>
    <w:p>
      <w:pPr>
        <w:spacing w:line="360" w:lineRule="auto"/>
      </w:pPr>
      <w:r>
        <w:t>新增标室：新增标室，对标室的信息进行维护，如日期、摄像头等；</w:t>
      </w:r>
    </w:p>
    <w:p>
      <w:pPr>
        <w:spacing w:line="360" w:lineRule="auto"/>
      </w:pPr>
      <w:r>
        <w:rPr>
          <w:rFonts w:hint="eastAsia"/>
        </w:rPr>
        <w:t>删除标室：删除</w:t>
      </w:r>
      <w:r>
        <w:rPr>
          <w:rFonts w:hint="eastAsia"/>
          <w:lang w:val="en-US" w:eastAsia="zh-CN"/>
        </w:rPr>
        <w:t>临时变更后无需归档视频的开标室评</w:t>
      </w:r>
      <w:r>
        <w:rPr>
          <w:rFonts w:hint="eastAsia"/>
        </w:rPr>
        <w:t>标室；</w:t>
      </w:r>
    </w:p>
    <w:p>
      <w:pPr>
        <w:spacing w:line="360" w:lineRule="auto"/>
      </w:pPr>
      <w:r>
        <w:rPr>
          <w:rFonts w:hint="eastAsia"/>
        </w:rPr>
        <w:t>视频预览：对截取的视频进行预览；</w:t>
      </w:r>
    </w:p>
    <w:p>
      <w:pPr>
        <w:spacing w:line="360" w:lineRule="auto"/>
      </w:pPr>
      <w:r>
        <w:rPr>
          <w:rFonts w:hint="eastAsia"/>
        </w:rPr>
        <w:t>发送指令：将确认的视频信息截取指令发送给系统进行截取；</w:t>
      </w:r>
    </w:p>
    <w:p>
      <w:pPr>
        <w:spacing w:line="360" w:lineRule="auto"/>
      </w:pPr>
      <w:r>
        <w:rPr>
          <w:rFonts w:hint="eastAsia"/>
        </w:rPr>
        <w:t>重发指令：调整视频信息，将确认的视频信息截取指令重新发送；</w:t>
      </w:r>
    </w:p>
    <w:p>
      <w:pPr>
        <w:spacing w:line="360" w:lineRule="auto"/>
      </w:pPr>
      <w:r>
        <w:rPr>
          <w:rFonts w:hint="eastAsia"/>
        </w:rPr>
        <w:t>提交审核：视频截取确认后，提交给视频管理员进行审核。</w:t>
      </w:r>
    </w:p>
    <w:p>
      <w:pPr>
        <w:spacing w:line="360" w:lineRule="auto"/>
      </w:pPr>
      <w:r>
        <w:drawing>
          <wp:inline distT="0" distB="0" distL="0" distR="0">
            <wp:extent cx="5274310" cy="201993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9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6"/>
        </w:numPr>
        <w:spacing w:line="360" w:lineRule="auto"/>
        <w:ind w:left="425" w:leftChars="0" w:hanging="425" w:firstLineChars="0"/>
      </w:pPr>
      <w:r>
        <w:rPr>
          <w:rFonts w:hint="eastAsia"/>
        </w:rPr>
        <w:t>点击修改，可以对标室信息进行调整。将标室名称、摄像头、开始时间、截至时间等信息完善后，点击保存按键。如上图。</w:t>
      </w:r>
    </w:p>
    <w:p>
      <w:pPr>
        <w:pStyle w:val="4"/>
        <w:bidi w:val="0"/>
        <w:ind w:left="720" w:leftChars="0" w:hanging="720" w:firstLineChars="0"/>
      </w:pPr>
      <w:bookmarkStart w:id="10" w:name="_Toc24455"/>
      <w:r>
        <w:rPr>
          <w:rFonts w:hint="eastAsia"/>
        </w:rPr>
        <w:t>视频截取</w:t>
      </w:r>
      <w:bookmarkEnd w:id="10"/>
    </w:p>
    <w:p>
      <w:pPr>
        <w:numPr>
          <w:ilvl w:val="0"/>
          <w:numId w:val="7"/>
        </w:numPr>
        <w:spacing w:line="360" w:lineRule="auto"/>
        <w:ind w:left="425" w:leftChars="0" w:hanging="425" w:firstLineChars="0"/>
      </w:pPr>
      <w:r>
        <w:rPr>
          <w:rFonts w:hint="eastAsia"/>
        </w:rPr>
        <w:t>项目视频信息确认无误后，选择标室，点击发送指令。发送成功，系统会提示“开始同步视频”。</w:t>
      </w:r>
    </w:p>
    <w:p>
      <w:pPr>
        <w:spacing w:line="360" w:lineRule="auto"/>
      </w:pPr>
      <w:r>
        <w:drawing>
          <wp:inline distT="0" distB="0" distL="0" distR="0">
            <wp:extent cx="5274310" cy="221043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7"/>
        </w:numPr>
        <w:spacing w:line="360" w:lineRule="auto"/>
        <w:ind w:left="425" w:leftChars="0" w:hanging="425" w:firstLineChars="0"/>
      </w:pPr>
      <w:r>
        <w:rPr>
          <w:rFonts w:hint="eastAsia"/>
        </w:rPr>
        <w:t>同步完成后，点击视频预览，可以对视频进行预览。如下图：</w:t>
      </w:r>
    </w:p>
    <w:p>
      <w:pPr>
        <w:spacing w:line="360" w:lineRule="auto"/>
      </w:pPr>
      <w:r>
        <w:drawing>
          <wp:inline distT="0" distB="0" distL="0" distR="0">
            <wp:extent cx="5274310" cy="169608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0" distR="0">
            <wp:extent cx="5274310" cy="1588770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0" distR="0">
            <wp:extent cx="5274310" cy="2568575"/>
            <wp:effectExtent l="0" t="0" r="254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8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</w:pPr>
      <w:r>
        <w:rPr>
          <w:rFonts w:hint="eastAsia"/>
        </w:rPr>
        <w:t>预览视频确认无误后，点击提交审核，将预览提交给视频管理员进行审核。</w:t>
      </w:r>
    </w:p>
    <w:p>
      <w:pPr>
        <w:spacing w:line="360" w:lineRule="auto"/>
      </w:pPr>
      <w:r>
        <w:drawing>
          <wp:inline distT="0" distB="0" distL="0" distR="0">
            <wp:extent cx="5274310" cy="1915795"/>
            <wp:effectExtent l="0" t="0" r="2540" b="825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16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pStyle w:val="4"/>
        <w:bidi w:val="0"/>
        <w:ind w:left="720" w:leftChars="0" w:hanging="720" w:firstLineChars="0"/>
      </w:pPr>
      <w:bookmarkStart w:id="11" w:name="_Toc12946"/>
      <w:r>
        <w:rPr>
          <w:rFonts w:hint="eastAsia"/>
        </w:rPr>
        <w:t>视频档案确认</w:t>
      </w:r>
      <w:bookmarkEnd w:id="11"/>
    </w:p>
    <w:p>
      <w:pPr>
        <w:numPr>
          <w:ilvl w:val="0"/>
          <w:numId w:val="8"/>
        </w:numPr>
        <w:spacing w:line="360" w:lineRule="auto"/>
        <w:ind w:left="425" w:leftChars="0" w:hanging="425" w:firstLineChars="0"/>
      </w:pPr>
      <w:r>
        <w:rPr>
          <w:rFonts w:hint="eastAsia"/>
        </w:rPr>
        <w:t>视频专员将视频档案审核流程提交后，由视频管理员进行确认。视频管理员登录系统后，可以在待办事宜中看见视频档案归档流程，点击后进行确认页面。</w:t>
      </w:r>
    </w:p>
    <w:p>
      <w:pPr>
        <w:spacing w:line="360" w:lineRule="auto"/>
      </w:pPr>
      <w:r>
        <w:drawing>
          <wp:inline distT="0" distB="0" distL="0" distR="0">
            <wp:extent cx="5274310" cy="2199640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00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8"/>
        </w:numPr>
        <w:spacing w:line="360" w:lineRule="auto"/>
        <w:ind w:left="425" w:leftChars="0" w:hanging="425" w:firstLineChars="0"/>
      </w:pPr>
      <w:r>
        <w:rPr>
          <w:rFonts w:hint="eastAsia"/>
        </w:rPr>
        <w:t>在此页面，视频管理员对视频进行预览确认，无误后点击同意，视频归档成功，流程结束。</w:t>
      </w:r>
    </w:p>
    <w:p>
      <w:pPr>
        <w:spacing w:line="360" w:lineRule="auto"/>
      </w:pPr>
      <w:r>
        <w:drawing>
          <wp:inline distT="0" distB="0" distL="0" distR="0">
            <wp:extent cx="5274310" cy="185102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51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bidi w:val="0"/>
        <w:ind w:left="432" w:leftChars="0" w:hanging="432" w:firstLineChars="0"/>
      </w:pPr>
      <w:bookmarkStart w:id="12" w:name="_Toc12507"/>
      <w:r>
        <w:rPr>
          <w:rFonts w:hint="eastAsia"/>
        </w:rPr>
        <w:t>档案借阅</w:t>
      </w:r>
      <w:bookmarkEnd w:id="12"/>
    </w:p>
    <w:p>
      <w:pPr>
        <w:pStyle w:val="3"/>
        <w:bidi w:val="0"/>
        <w:ind w:left="575" w:leftChars="0" w:hanging="575" w:firstLineChars="0"/>
      </w:pPr>
      <w:bookmarkStart w:id="13" w:name="_Toc17912"/>
      <w:r>
        <w:rPr>
          <w:rFonts w:hint="eastAsia"/>
          <w:lang w:val="en-US" w:eastAsia="zh-CN"/>
        </w:rPr>
        <w:t>档案借阅</w:t>
      </w:r>
      <w:bookmarkEnd w:id="13"/>
    </w:p>
    <w:p>
      <w:pPr>
        <w:pStyle w:val="3"/>
        <w:bidi w:val="0"/>
        <w:ind w:left="575" w:leftChars="0" w:hanging="575" w:firstLineChars="0"/>
      </w:pPr>
      <w:bookmarkStart w:id="14" w:name="_Toc13350"/>
      <w:r>
        <w:rPr>
          <w:rFonts w:hint="eastAsia"/>
        </w:rPr>
        <w:t>档案借阅审批</w:t>
      </w:r>
      <w:bookmarkEnd w:id="14"/>
    </w:p>
    <w:p>
      <w:pPr>
        <w:spacing w:line="360" w:lineRule="auto"/>
        <w:ind w:firstLine="420" w:firstLineChars="200"/>
      </w:pPr>
      <w:r>
        <w:t>档案借阅人提交借阅申请后，由档案领导（审核角色由交易中心确认）进行审核。</w:t>
      </w:r>
    </w:p>
    <w:p>
      <w:pPr>
        <w:spacing w:line="360" w:lineRule="auto"/>
      </w:pPr>
      <w:r>
        <w:drawing>
          <wp:inline distT="0" distB="0" distL="0" distR="0">
            <wp:extent cx="5274310" cy="2165350"/>
            <wp:effectExtent l="0" t="0" r="2540" b="635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65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t>档案领导对档案借阅人提交借阅申请进行确认，点击同意或不同意。</w:t>
      </w:r>
    </w:p>
    <w:p>
      <w:pPr>
        <w:spacing w:line="360" w:lineRule="auto"/>
      </w:pPr>
      <w:r>
        <w:drawing>
          <wp:inline distT="0" distB="0" distL="0" distR="0">
            <wp:extent cx="5274310" cy="2181860"/>
            <wp:effectExtent l="0" t="0" r="2540" b="889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82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0" distR="0">
            <wp:extent cx="5274310" cy="2223135"/>
            <wp:effectExtent l="0" t="0" r="2540" b="5715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bidi w:val="0"/>
        <w:ind w:left="575" w:leftChars="0" w:hanging="575" w:firstLineChars="0"/>
      </w:pPr>
      <w:bookmarkStart w:id="15" w:name="_Toc2234"/>
      <w:r>
        <w:rPr>
          <w:rFonts w:hint="eastAsia"/>
        </w:rPr>
        <w:t>档案归还审批</w:t>
      </w:r>
      <w:bookmarkEnd w:id="15"/>
    </w:p>
    <w:p>
      <w:pPr>
        <w:spacing w:line="360" w:lineRule="auto"/>
        <w:ind w:firstLine="420" w:firstLineChars="200"/>
      </w:pPr>
      <w:r>
        <w:t>档案借阅人提交归还申请后，由档案领导（审核角色由交易中心确认）进行审核。</w:t>
      </w:r>
    </w:p>
    <w:p>
      <w:pPr>
        <w:spacing w:line="360" w:lineRule="auto"/>
      </w:pPr>
      <w:r>
        <w:drawing>
          <wp:inline distT="0" distB="0" distL="0" distR="0">
            <wp:extent cx="5274310" cy="2366645"/>
            <wp:effectExtent l="0" t="0" r="254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t>档案领导对档案借阅人提交归还申请进行确认，点击同意或不同意。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1809115"/>
            <wp:effectExtent l="0" t="0" r="2540" b="635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09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3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9CADA25"/>
    <w:multiLevelType w:val="singleLevel"/>
    <w:tmpl w:val="99CADA2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F24D6A6"/>
    <w:multiLevelType w:val="singleLevel"/>
    <w:tmpl w:val="9F24D6A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717BD32"/>
    <w:multiLevelType w:val="singleLevel"/>
    <w:tmpl w:val="A717BD3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B46AA7DC"/>
    <w:multiLevelType w:val="singleLevel"/>
    <w:tmpl w:val="B46AA7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C72A5FD5"/>
    <w:multiLevelType w:val="multilevel"/>
    <w:tmpl w:val="C72A5FD5"/>
    <w:lvl w:ilvl="0" w:tentative="0">
      <w:start w:val="1"/>
      <w:numFmt w:val="chineseCounting"/>
      <w:pStyle w:val="2"/>
      <w:suff w:val="nothing"/>
      <w:lvlText w:val="%1、"/>
      <w:lvlJc w:val="left"/>
      <w:pPr>
        <w:tabs>
          <w:tab w:val="left" w:pos="0"/>
        </w:tabs>
        <w:ind w:left="432" w:hanging="432"/>
      </w:pPr>
      <w:rPr>
        <w:rFonts w:hint="eastAsia" w:ascii="宋体" w:hAnsi="宋体" w:eastAsia="宋体" w:cs="宋体"/>
      </w:rPr>
    </w:lvl>
    <w:lvl w:ilvl="1" w:tentative="0">
      <w:start w:val="1"/>
      <w:numFmt w:val="decimal"/>
      <w:pStyle w:val="3"/>
      <w:isLgl/>
      <w:lvlText w:val="%1.%2."/>
      <w:lvlJc w:val="left"/>
      <w:pPr>
        <w:ind w:left="575" w:hanging="575"/>
      </w:pPr>
      <w:rPr>
        <w:rFonts w:hint="eastAsia"/>
      </w:rPr>
    </w:lvl>
    <w:lvl w:ilvl="2" w:tentative="0">
      <w:start w:val="1"/>
      <w:numFmt w:val="decimal"/>
      <w:pStyle w:val="4"/>
      <w:isLgl/>
      <w:lvlText w:val="%1.%2.%3.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5"/>
      <w:isLgl/>
      <w:lvlText w:val="%1.%2.%3.%4.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pStyle w:val="6"/>
      <w:isLgl/>
      <w:lvlText w:val="%1.%2.%3.%4.%5.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pStyle w:val="7"/>
      <w:isLgl/>
      <w:lvlText w:val="%1.%2.%3.%4.%5.%6."/>
      <w:lvlJc w:val="left"/>
      <w:pPr>
        <w:ind w:left="1151" w:hanging="1151"/>
      </w:pPr>
      <w:rPr>
        <w:rFonts w:hint="eastAsia"/>
      </w:rPr>
    </w:lvl>
    <w:lvl w:ilvl="6" w:tentative="0">
      <w:start w:val="1"/>
      <w:numFmt w:val="decimal"/>
      <w:pStyle w:val="8"/>
      <w:isLgl/>
      <w:lvlText w:val="%1.%2.%3.%4.%5.%6.%7.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pStyle w:val="9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pStyle w:val="10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abstractNum w:abstractNumId="5">
    <w:nsid w:val="F8FC59B3"/>
    <w:multiLevelType w:val="singleLevel"/>
    <w:tmpl w:val="F8FC59B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57E3BF1B"/>
    <w:multiLevelType w:val="singleLevel"/>
    <w:tmpl w:val="57E3BF1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799FDC1A"/>
    <w:multiLevelType w:val="singleLevel"/>
    <w:tmpl w:val="799FDC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4C"/>
    <w:rsid w:val="000033DD"/>
    <w:rsid w:val="000048DB"/>
    <w:rsid w:val="00004CD3"/>
    <w:rsid w:val="00005004"/>
    <w:rsid w:val="0000573F"/>
    <w:rsid w:val="00006539"/>
    <w:rsid w:val="00006740"/>
    <w:rsid w:val="00006C6E"/>
    <w:rsid w:val="00007180"/>
    <w:rsid w:val="000074DD"/>
    <w:rsid w:val="00023C34"/>
    <w:rsid w:val="00024D13"/>
    <w:rsid w:val="00027EE3"/>
    <w:rsid w:val="00034730"/>
    <w:rsid w:val="00034B1D"/>
    <w:rsid w:val="0004466A"/>
    <w:rsid w:val="00045A6B"/>
    <w:rsid w:val="00046C4A"/>
    <w:rsid w:val="00047FD7"/>
    <w:rsid w:val="00076C94"/>
    <w:rsid w:val="00081E86"/>
    <w:rsid w:val="0008408A"/>
    <w:rsid w:val="0008495B"/>
    <w:rsid w:val="00093E66"/>
    <w:rsid w:val="00094A65"/>
    <w:rsid w:val="000951D5"/>
    <w:rsid w:val="00097A1E"/>
    <w:rsid w:val="000A3725"/>
    <w:rsid w:val="000A39DB"/>
    <w:rsid w:val="000A4EEC"/>
    <w:rsid w:val="000A78FA"/>
    <w:rsid w:val="000B66F7"/>
    <w:rsid w:val="000B727F"/>
    <w:rsid w:val="000C001D"/>
    <w:rsid w:val="000C14EF"/>
    <w:rsid w:val="000C3ACF"/>
    <w:rsid w:val="000C4DF6"/>
    <w:rsid w:val="000D490D"/>
    <w:rsid w:val="000E7C34"/>
    <w:rsid w:val="000F0CF8"/>
    <w:rsid w:val="000F18ED"/>
    <w:rsid w:val="000F25D2"/>
    <w:rsid w:val="000F502C"/>
    <w:rsid w:val="00104BA0"/>
    <w:rsid w:val="00106D7D"/>
    <w:rsid w:val="001070B5"/>
    <w:rsid w:val="00125356"/>
    <w:rsid w:val="001261B2"/>
    <w:rsid w:val="0015053B"/>
    <w:rsid w:val="00153FB3"/>
    <w:rsid w:val="00163905"/>
    <w:rsid w:val="00176E68"/>
    <w:rsid w:val="00180F8B"/>
    <w:rsid w:val="001821EC"/>
    <w:rsid w:val="00183FBF"/>
    <w:rsid w:val="00192BA5"/>
    <w:rsid w:val="0019403E"/>
    <w:rsid w:val="0019549C"/>
    <w:rsid w:val="00195B70"/>
    <w:rsid w:val="001A0694"/>
    <w:rsid w:val="001A3AC3"/>
    <w:rsid w:val="001A73BC"/>
    <w:rsid w:val="001B01D3"/>
    <w:rsid w:val="001B2CEC"/>
    <w:rsid w:val="001B5AD1"/>
    <w:rsid w:val="001C2B86"/>
    <w:rsid w:val="001D64A3"/>
    <w:rsid w:val="001E5184"/>
    <w:rsid w:val="001E551C"/>
    <w:rsid w:val="001E7484"/>
    <w:rsid w:val="00200539"/>
    <w:rsid w:val="00202098"/>
    <w:rsid w:val="00204746"/>
    <w:rsid w:val="00204957"/>
    <w:rsid w:val="00205D6D"/>
    <w:rsid w:val="00206478"/>
    <w:rsid w:val="002066A4"/>
    <w:rsid w:val="0022003E"/>
    <w:rsid w:val="00221634"/>
    <w:rsid w:val="00225121"/>
    <w:rsid w:val="00232C87"/>
    <w:rsid w:val="002347FC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A6EDC"/>
    <w:rsid w:val="002B0098"/>
    <w:rsid w:val="002B1D5D"/>
    <w:rsid w:val="002B1E19"/>
    <w:rsid w:val="002B49D7"/>
    <w:rsid w:val="002C052D"/>
    <w:rsid w:val="002C11C8"/>
    <w:rsid w:val="002C1C49"/>
    <w:rsid w:val="002C5787"/>
    <w:rsid w:val="002C66F8"/>
    <w:rsid w:val="002C6AC9"/>
    <w:rsid w:val="002C70D5"/>
    <w:rsid w:val="002D06D4"/>
    <w:rsid w:val="002D12DF"/>
    <w:rsid w:val="002D7F14"/>
    <w:rsid w:val="002E7422"/>
    <w:rsid w:val="002F193C"/>
    <w:rsid w:val="002F5CBE"/>
    <w:rsid w:val="00310F03"/>
    <w:rsid w:val="0031779E"/>
    <w:rsid w:val="0033017A"/>
    <w:rsid w:val="00332F8A"/>
    <w:rsid w:val="00333F88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B1F88"/>
    <w:rsid w:val="003C2D8E"/>
    <w:rsid w:val="003D5E5B"/>
    <w:rsid w:val="003D6BB0"/>
    <w:rsid w:val="003E00D0"/>
    <w:rsid w:val="003E35A9"/>
    <w:rsid w:val="003E5C3A"/>
    <w:rsid w:val="003F2502"/>
    <w:rsid w:val="003F3471"/>
    <w:rsid w:val="003F566F"/>
    <w:rsid w:val="003F6E68"/>
    <w:rsid w:val="003F73BD"/>
    <w:rsid w:val="0040515F"/>
    <w:rsid w:val="00407B29"/>
    <w:rsid w:val="00417916"/>
    <w:rsid w:val="004211B5"/>
    <w:rsid w:val="00430FDA"/>
    <w:rsid w:val="0043372D"/>
    <w:rsid w:val="004538BD"/>
    <w:rsid w:val="004566AA"/>
    <w:rsid w:val="0046006D"/>
    <w:rsid w:val="00460E5A"/>
    <w:rsid w:val="00465E21"/>
    <w:rsid w:val="00475ABC"/>
    <w:rsid w:val="00480516"/>
    <w:rsid w:val="00480683"/>
    <w:rsid w:val="0048420B"/>
    <w:rsid w:val="00492208"/>
    <w:rsid w:val="004973A9"/>
    <w:rsid w:val="004A0C12"/>
    <w:rsid w:val="004A1904"/>
    <w:rsid w:val="004A70C5"/>
    <w:rsid w:val="004B18E8"/>
    <w:rsid w:val="004B5799"/>
    <w:rsid w:val="004C1C5A"/>
    <w:rsid w:val="004D00E2"/>
    <w:rsid w:val="004D2761"/>
    <w:rsid w:val="004D36CC"/>
    <w:rsid w:val="004E187C"/>
    <w:rsid w:val="004E1D73"/>
    <w:rsid w:val="004E4E71"/>
    <w:rsid w:val="004E6594"/>
    <w:rsid w:val="00507ED4"/>
    <w:rsid w:val="00514701"/>
    <w:rsid w:val="005410D8"/>
    <w:rsid w:val="00541167"/>
    <w:rsid w:val="00557B24"/>
    <w:rsid w:val="005617E9"/>
    <w:rsid w:val="00562142"/>
    <w:rsid w:val="00564778"/>
    <w:rsid w:val="00565653"/>
    <w:rsid w:val="00572EB8"/>
    <w:rsid w:val="00580F02"/>
    <w:rsid w:val="005A292D"/>
    <w:rsid w:val="005B05DC"/>
    <w:rsid w:val="005D1043"/>
    <w:rsid w:val="005E0BA3"/>
    <w:rsid w:val="005F7B44"/>
    <w:rsid w:val="00605FCB"/>
    <w:rsid w:val="00613C93"/>
    <w:rsid w:val="006156B3"/>
    <w:rsid w:val="00615BEA"/>
    <w:rsid w:val="00623156"/>
    <w:rsid w:val="00633C14"/>
    <w:rsid w:val="00645640"/>
    <w:rsid w:val="006479BE"/>
    <w:rsid w:val="00652C66"/>
    <w:rsid w:val="0066059A"/>
    <w:rsid w:val="00660FAC"/>
    <w:rsid w:val="00663271"/>
    <w:rsid w:val="006639C3"/>
    <w:rsid w:val="0066538F"/>
    <w:rsid w:val="00675ED0"/>
    <w:rsid w:val="00676CF7"/>
    <w:rsid w:val="00680192"/>
    <w:rsid w:val="00696264"/>
    <w:rsid w:val="006A0433"/>
    <w:rsid w:val="006A3259"/>
    <w:rsid w:val="006A406F"/>
    <w:rsid w:val="006A5E45"/>
    <w:rsid w:val="006B1D0B"/>
    <w:rsid w:val="006B27DF"/>
    <w:rsid w:val="006B73A5"/>
    <w:rsid w:val="006D3417"/>
    <w:rsid w:val="006D3FAA"/>
    <w:rsid w:val="006D4065"/>
    <w:rsid w:val="006E7195"/>
    <w:rsid w:val="006E754A"/>
    <w:rsid w:val="006F068F"/>
    <w:rsid w:val="00701B4C"/>
    <w:rsid w:val="00702F5B"/>
    <w:rsid w:val="0070671C"/>
    <w:rsid w:val="007078A2"/>
    <w:rsid w:val="00707DF6"/>
    <w:rsid w:val="00707EFB"/>
    <w:rsid w:val="007109EA"/>
    <w:rsid w:val="00712678"/>
    <w:rsid w:val="00715253"/>
    <w:rsid w:val="00717173"/>
    <w:rsid w:val="007219DA"/>
    <w:rsid w:val="0073066C"/>
    <w:rsid w:val="007401D5"/>
    <w:rsid w:val="00741A2F"/>
    <w:rsid w:val="00741B5F"/>
    <w:rsid w:val="007460C4"/>
    <w:rsid w:val="007475A0"/>
    <w:rsid w:val="00757B75"/>
    <w:rsid w:val="007734C6"/>
    <w:rsid w:val="007759D3"/>
    <w:rsid w:val="00781A96"/>
    <w:rsid w:val="0078469F"/>
    <w:rsid w:val="0079082C"/>
    <w:rsid w:val="007A49AD"/>
    <w:rsid w:val="007C381C"/>
    <w:rsid w:val="007C6FBF"/>
    <w:rsid w:val="007C7FA9"/>
    <w:rsid w:val="007D2B64"/>
    <w:rsid w:val="007D4B93"/>
    <w:rsid w:val="007D6C29"/>
    <w:rsid w:val="007E0C77"/>
    <w:rsid w:val="007E4B63"/>
    <w:rsid w:val="007E4EC9"/>
    <w:rsid w:val="007E6E63"/>
    <w:rsid w:val="007F35A6"/>
    <w:rsid w:val="007F3742"/>
    <w:rsid w:val="007F4BD8"/>
    <w:rsid w:val="007F72F5"/>
    <w:rsid w:val="00801720"/>
    <w:rsid w:val="0080347B"/>
    <w:rsid w:val="00804379"/>
    <w:rsid w:val="00805B79"/>
    <w:rsid w:val="00806F95"/>
    <w:rsid w:val="00813ABA"/>
    <w:rsid w:val="00815094"/>
    <w:rsid w:val="00823835"/>
    <w:rsid w:val="00825772"/>
    <w:rsid w:val="00826670"/>
    <w:rsid w:val="008278A3"/>
    <w:rsid w:val="008325D6"/>
    <w:rsid w:val="008353BF"/>
    <w:rsid w:val="00836871"/>
    <w:rsid w:val="00841F6F"/>
    <w:rsid w:val="00847B63"/>
    <w:rsid w:val="00850AA5"/>
    <w:rsid w:val="00851A24"/>
    <w:rsid w:val="0085790A"/>
    <w:rsid w:val="008627DF"/>
    <w:rsid w:val="00867BD8"/>
    <w:rsid w:val="00870586"/>
    <w:rsid w:val="00872682"/>
    <w:rsid w:val="008727E2"/>
    <w:rsid w:val="00872BF1"/>
    <w:rsid w:val="008740E6"/>
    <w:rsid w:val="0087485A"/>
    <w:rsid w:val="0088773C"/>
    <w:rsid w:val="00890AD0"/>
    <w:rsid w:val="00891CBB"/>
    <w:rsid w:val="008A24EB"/>
    <w:rsid w:val="008A636E"/>
    <w:rsid w:val="008B506A"/>
    <w:rsid w:val="008B570C"/>
    <w:rsid w:val="008B5F36"/>
    <w:rsid w:val="008C04AC"/>
    <w:rsid w:val="008C164C"/>
    <w:rsid w:val="008C6BCC"/>
    <w:rsid w:val="008C7D13"/>
    <w:rsid w:val="008D168E"/>
    <w:rsid w:val="008D4823"/>
    <w:rsid w:val="008E505C"/>
    <w:rsid w:val="008F222E"/>
    <w:rsid w:val="00900AA3"/>
    <w:rsid w:val="0090440F"/>
    <w:rsid w:val="0091634A"/>
    <w:rsid w:val="00916CC8"/>
    <w:rsid w:val="00922EB2"/>
    <w:rsid w:val="00932902"/>
    <w:rsid w:val="00932B4B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C23"/>
    <w:rsid w:val="00970D4C"/>
    <w:rsid w:val="00972E68"/>
    <w:rsid w:val="00976D10"/>
    <w:rsid w:val="00980973"/>
    <w:rsid w:val="00982D07"/>
    <w:rsid w:val="00990797"/>
    <w:rsid w:val="00990E44"/>
    <w:rsid w:val="00995203"/>
    <w:rsid w:val="00995E0C"/>
    <w:rsid w:val="009A7B1A"/>
    <w:rsid w:val="009B05E1"/>
    <w:rsid w:val="009B21DA"/>
    <w:rsid w:val="009B57C6"/>
    <w:rsid w:val="009B7B77"/>
    <w:rsid w:val="009C0863"/>
    <w:rsid w:val="009C2F7B"/>
    <w:rsid w:val="009D7913"/>
    <w:rsid w:val="009E1197"/>
    <w:rsid w:val="009E14DE"/>
    <w:rsid w:val="009F0E99"/>
    <w:rsid w:val="009F64B8"/>
    <w:rsid w:val="00A02351"/>
    <w:rsid w:val="00A05606"/>
    <w:rsid w:val="00A07D07"/>
    <w:rsid w:val="00A15853"/>
    <w:rsid w:val="00A16A38"/>
    <w:rsid w:val="00A23463"/>
    <w:rsid w:val="00A251EE"/>
    <w:rsid w:val="00A33EB3"/>
    <w:rsid w:val="00A35A27"/>
    <w:rsid w:val="00A43A53"/>
    <w:rsid w:val="00A45FF7"/>
    <w:rsid w:val="00A47367"/>
    <w:rsid w:val="00A53E54"/>
    <w:rsid w:val="00A60F74"/>
    <w:rsid w:val="00A61482"/>
    <w:rsid w:val="00A67FA1"/>
    <w:rsid w:val="00A75983"/>
    <w:rsid w:val="00A814E8"/>
    <w:rsid w:val="00A84661"/>
    <w:rsid w:val="00A866B6"/>
    <w:rsid w:val="00A87A95"/>
    <w:rsid w:val="00A9137F"/>
    <w:rsid w:val="00A96DE7"/>
    <w:rsid w:val="00AA205B"/>
    <w:rsid w:val="00AA3D34"/>
    <w:rsid w:val="00AA6BEC"/>
    <w:rsid w:val="00AB0AD7"/>
    <w:rsid w:val="00AB194F"/>
    <w:rsid w:val="00AB3D46"/>
    <w:rsid w:val="00AB7905"/>
    <w:rsid w:val="00AC1F93"/>
    <w:rsid w:val="00AE14C6"/>
    <w:rsid w:val="00AE26C5"/>
    <w:rsid w:val="00AE3A19"/>
    <w:rsid w:val="00AF09DC"/>
    <w:rsid w:val="00AF6D13"/>
    <w:rsid w:val="00B008EF"/>
    <w:rsid w:val="00B05707"/>
    <w:rsid w:val="00B161CB"/>
    <w:rsid w:val="00B22EDC"/>
    <w:rsid w:val="00B259B7"/>
    <w:rsid w:val="00B33359"/>
    <w:rsid w:val="00B362B9"/>
    <w:rsid w:val="00B50049"/>
    <w:rsid w:val="00B51C39"/>
    <w:rsid w:val="00B539BF"/>
    <w:rsid w:val="00B54769"/>
    <w:rsid w:val="00B61027"/>
    <w:rsid w:val="00B613CF"/>
    <w:rsid w:val="00B678CD"/>
    <w:rsid w:val="00B73B0A"/>
    <w:rsid w:val="00B77A38"/>
    <w:rsid w:val="00B855A4"/>
    <w:rsid w:val="00B91064"/>
    <w:rsid w:val="00BA0669"/>
    <w:rsid w:val="00BA1424"/>
    <w:rsid w:val="00BA5702"/>
    <w:rsid w:val="00BB0D72"/>
    <w:rsid w:val="00BB4F71"/>
    <w:rsid w:val="00BB7DBC"/>
    <w:rsid w:val="00BC0481"/>
    <w:rsid w:val="00BD73D1"/>
    <w:rsid w:val="00BE2481"/>
    <w:rsid w:val="00BE61E7"/>
    <w:rsid w:val="00BF683B"/>
    <w:rsid w:val="00BF7843"/>
    <w:rsid w:val="00C06546"/>
    <w:rsid w:val="00C22A3C"/>
    <w:rsid w:val="00C24385"/>
    <w:rsid w:val="00C30BEF"/>
    <w:rsid w:val="00C310D6"/>
    <w:rsid w:val="00C32EB7"/>
    <w:rsid w:val="00C40C8D"/>
    <w:rsid w:val="00C41904"/>
    <w:rsid w:val="00C47087"/>
    <w:rsid w:val="00C536C8"/>
    <w:rsid w:val="00C53953"/>
    <w:rsid w:val="00C53CE1"/>
    <w:rsid w:val="00C54C56"/>
    <w:rsid w:val="00C57A5F"/>
    <w:rsid w:val="00C60122"/>
    <w:rsid w:val="00C612CB"/>
    <w:rsid w:val="00C633E2"/>
    <w:rsid w:val="00C72D93"/>
    <w:rsid w:val="00C775C3"/>
    <w:rsid w:val="00C825AB"/>
    <w:rsid w:val="00C861BE"/>
    <w:rsid w:val="00C9058A"/>
    <w:rsid w:val="00C90681"/>
    <w:rsid w:val="00C970BF"/>
    <w:rsid w:val="00CB36EB"/>
    <w:rsid w:val="00CD77A3"/>
    <w:rsid w:val="00CE1B61"/>
    <w:rsid w:val="00CE45B7"/>
    <w:rsid w:val="00CE49D3"/>
    <w:rsid w:val="00CE676A"/>
    <w:rsid w:val="00CF17DD"/>
    <w:rsid w:val="00D021EF"/>
    <w:rsid w:val="00D03EDB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569F7"/>
    <w:rsid w:val="00D6102F"/>
    <w:rsid w:val="00D6229D"/>
    <w:rsid w:val="00D67531"/>
    <w:rsid w:val="00D7012E"/>
    <w:rsid w:val="00D71F2F"/>
    <w:rsid w:val="00D72011"/>
    <w:rsid w:val="00D72585"/>
    <w:rsid w:val="00D74712"/>
    <w:rsid w:val="00D75294"/>
    <w:rsid w:val="00D75DE9"/>
    <w:rsid w:val="00D81CAB"/>
    <w:rsid w:val="00D82084"/>
    <w:rsid w:val="00D82D72"/>
    <w:rsid w:val="00D86D78"/>
    <w:rsid w:val="00D87DFC"/>
    <w:rsid w:val="00D90DAD"/>
    <w:rsid w:val="00D9573B"/>
    <w:rsid w:val="00D97177"/>
    <w:rsid w:val="00DB71E5"/>
    <w:rsid w:val="00DC05C4"/>
    <w:rsid w:val="00DC254F"/>
    <w:rsid w:val="00DC5A18"/>
    <w:rsid w:val="00DC70A6"/>
    <w:rsid w:val="00DD1E27"/>
    <w:rsid w:val="00DD1EAC"/>
    <w:rsid w:val="00DD21C9"/>
    <w:rsid w:val="00DD2B80"/>
    <w:rsid w:val="00DD43B6"/>
    <w:rsid w:val="00DE26F5"/>
    <w:rsid w:val="00DE34FA"/>
    <w:rsid w:val="00DF22D3"/>
    <w:rsid w:val="00DF42DB"/>
    <w:rsid w:val="00DF4381"/>
    <w:rsid w:val="00DF488F"/>
    <w:rsid w:val="00DF7EF2"/>
    <w:rsid w:val="00E005C1"/>
    <w:rsid w:val="00E035F5"/>
    <w:rsid w:val="00E10705"/>
    <w:rsid w:val="00E113DE"/>
    <w:rsid w:val="00E1204C"/>
    <w:rsid w:val="00E12676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842FC"/>
    <w:rsid w:val="00E92892"/>
    <w:rsid w:val="00EA1CA8"/>
    <w:rsid w:val="00EA3606"/>
    <w:rsid w:val="00EA5893"/>
    <w:rsid w:val="00EA743C"/>
    <w:rsid w:val="00EB2404"/>
    <w:rsid w:val="00EB48AB"/>
    <w:rsid w:val="00EC09A7"/>
    <w:rsid w:val="00EC21EC"/>
    <w:rsid w:val="00EC2CF0"/>
    <w:rsid w:val="00EC731D"/>
    <w:rsid w:val="00EC7D5E"/>
    <w:rsid w:val="00ED4D39"/>
    <w:rsid w:val="00EF08C2"/>
    <w:rsid w:val="00EF0F47"/>
    <w:rsid w:val="00EF6165"/>
    <w:rsid w:val="00F10043"/>
    <w:rsid w:val="00F10D40"/>
    <w:rsid w:val="00F10E71"/>
    <w:rsid w:val="00F1262C"/>
    <w:rsid w:val="00F12B83"/>
    <w:rsid w:val="00F2372E"/>
    <w:rsid w:val="00F24CBD"/>
    <w:rsid w:val="00F3013B"/>
    <w:rsid w:val="00F32379"/>
    <w:rsid w:val="00F35D0D"/>
    <w:rsid w:val="00F37171"/>
    <w:rsid w:val="00F43DE4"/>
    <w:rsid w:val="00F443C3"/>
    <w:rsid w:val="00F5188A"/>
    <w:rsid w:val="00F53449"/>
    <w:rsid w:val="00F569D5"/>
    <w:rsid w:val="00F63207"/>
    <w:rsid w:val="00F655F6"/>
    <w:rsid w:val="00F726E6"/>
    <w:rsid w:val="00F75A94"/>
    <w:rsid w:val="00F76671"/>
    <w:rsid w:val="00F801E8"/>
    <w:rsid w:val="00F81C28"/>
    <w:rsid w:val="00F832EA"/>
    <w:rsid w:val="00F85E67"/>
    <w:rsid w:val="00F95600"/>
    <w:rsid w:val="00F9682C"/>
    <w:rsid w:val="00FA7B18"/>
    <w:rsid w:val="00FB05E7"/>
    <w:rsid w:val="00FB0E86"/>
    <w:rsid w:val="00FB1154"/>
    <w:rsid w:val="00FB54D1"/>
    <w:rsid w:val="00FB6D9E"/>
    <w:rsid w:val="00FB7E1B"/>
    <w:rsid w:val="00FC3121"/>
    <w:rsid w:val="00FC3BBF"/>
    <w:rsid w:val="00FD18CB"/>
    <w:rsid w:val="00FD7EBA"/>
    <w:rsid w:val="00FE0A92"/>
    <w:rsid w:val="00FF58E5"/>
    <w:rsid w:val="01112F48"/>
    <w:rsid w:val="03A6704A"/>
    <w:rsid w:val="05A7401B"/>
    <w:rsid w:val="099E22E5"/>
    <w:rsid w:val="0D8F3238"/>
    <w:rsid w:val="0E2A2986"/>
    <w:rsid w:val="0EEE0B3F"/>
    <w:rsid w:val="109A6292"/>
    <w:rsid w:val="11665002"/>
    <w:rsid w:val="11ED2B2D"/>
    <w:rsid w:val="14CB51BC"/>
    <w:rsid w:val="156449F9"/>
    <w:rsid w:val="15834340"/>
    <w:rsid w:val="1831750C"/>
    <w:rsid w:val="18C33C7D"/>
    <w:rsid w:val="196A43EF"/>
    <w:rsid w:val="1D501249"/>
    <w:rsid w:val="1EC05239"/>
    <w:rsid w:val="215707E8"/>
    <w:rsid w:val="220C30CB"/>
    <w:rsid w:val="24034D2A"/>
    <w:rsid w:val="24D11562"/>
    <w:rsid w:val="24D20739"/>
    <w:rsid w:val="29024810"/>
    <w:rsid w:val="2D100451"/>
    <w:rsid w:val="2E0B7AD2"/>
    <w:rsid w:val="2ED73471"/>
    <w:rsid w:val="2F7730ED"/>
    <w:rsid w:val="30082788"/>
    <w:rsid w:val="338C1CDB"/>
    <w:rsid w:val="34202AD0"/>
    <w:rsid w:val="371D01E9"/>
    <w:rsid w:val="380C5FF0"/>
    <w:rsid w:val="3A8A0A6D"/>
    <w:rsid w:val="3BEE3180"/>
    <w:rsid w:val="3C2A27F0"/>
    <w:rsid w:val="3C9972E9"/>
    <w:rsid w:val="403C5978"/>
    <w:rsid w:val="41517EEE"/>
    <w:rsid w:val="415D7264"/>
    <w:rsid w:val="41BB7DBF"/>
    <w:rsid w:val="41C3552A"/>
    <w:rsid w:val="45BA402C"/>
    <w:rsid w:val="48EA0DC3"/>
    <w:rsid w:val="49493DA0"/>
    <w:rsid w:val="4AB31B44"/>
    <w:rsid w:val="4BA61D9A"/>
    <w:rsid w:val="4BAD4607"/>
    <w:rsid w:val="4C5B2CFB"/>
    <w:rsid w:val="4C7F4E8C"/>
    <w:rsid w:val="4E2D6E47"/>
    <w:rsid w:val="508266A5"/>
    <w:rsid w:val="50AE0EAA"/>
    <w:rsid w:val="51D81B3E"/>
    <w:rsid w:val="52F4134C"/>
    <w:rsid w:val="55B15397"/>
    <w:rsid w:val="575F7EA6"/>
    <w:rsid w:val="5A363DEF"/>
    <w:rsid w:val="5AD3556D"/>
    <w:rsid w:val="5BCC6E6D"/>
    <w:rsid w:val="5C256C50"/>
    <w:rsid w:val="5DD15077"/>
    <w:rsid w:val="5DE20731"/>
    <w:rsid w:val="60C6268D"/>
    <w:rsid w:val="61E23957"/>
    <w:rsid w:val="65A23928"/>
    <w:rsid w:val="66824A88"/>
    <w:rsid w:val="6B9545CE"/>
    <w:rsid w:val="6D0D732C"/>
    <w:rsid w:val="6F5C1D4B"/>
    <w:rsid w:val="712F2955"/>
    <w:rsid w:val="713C6EAD"/>
    <w:rsid w:val="727D1FD5"/>
    <w:rsid w:val="75D42E69"/>
    <w:rsid w:val="774D55B0"/>
    <w:rsid w:val="79165391"/>
    <w:rsid w:val="7A2518A1"/>
    <w:rsid w:val="7C091D5F"/>
    <w:rsid w:val="7D270B64"/>
    <w:rsid w:val="7D8E2A65"/>
    <w:rsid w:val="7D9E0000"/>
    <w:rsid w:val="7F055C50"/>
    <w:rsid w:val="7F311D9F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ind w:left="432" w:hanging="432"/>
      <w:outlineLvl w:val="0"/>
    </w:pPr>
    <w:rPr>
      <w:rFonts w:eastAsiaTheme="majorEastAsia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ind w:left="575" w:hanging="575"/>
      <w:outlineLvl w:val="1"/>
    </w:pPr>
    <w:rPr>
      <w:rFonts w:ascii="Arial" w:hAnsi="Arial" w:eastAsiaTheme="majorEastAsia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left="720" w:hanging="72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left="1008" w:hanging="1008"/>
      <w:outlineLvl w:val="4"/>
    </w:pPr>
    <w:rPr>
      <w:rFonts w:ascii="Times New Roman" w:hAnsi="Times New Roman" w:eastAsia="宋体" w:cs="Times New Roman"/>
      <w:b/>
      <w:sz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ind w:left="1151" w:hanging="1151"/>
      <w:outlineLvl w:val="5"/>
    </w:pPr>
    <w:rPr>
      <w:rFonts w:ascii="Arial" w:hAnsi="Arial" w:eastAsia="宋体" w:cs="Times New Roman"/>
      <w:b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2">
    <w:name w:val="Balloon Text"/>
    <w:basedOn w:val="1"/>
    <w:link w:val="2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16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0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1">
    <w:name w:val="批注框文本 Char"/>
    <w:basedOn w:val="18"/>
    <w:link w:val="1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9" Type="http://schemas.openxmlformats.org/officeDocument/2006/relationships/fontTable" Target="fontTable.xml"/><Relationship Id="rId38" Type="http://schemas.openxmlformats.org/officeDocument/2006/relationships/numbering" Target="numbering.xml"/><Relationship Id="rId37" Type="http://schemas.openxmlformats.org/officeDocument/2006/relationships/customXml" Target="../customXml/item1.xml"/><Relationship Id="rId36" Type="http://schemas.openxmlformats.org/officeDocument/2006/relationships/image" Target="media/image32.png"/><Relationship Id="rId35" Type="http://schemas.openxmlformats.org/officeDocument/2006/relationships/image" Target="media/image31.png"/><Relationship Id="rId34" Type="http://schemas.openxmlformats.org/officeDocument/2006/relationships/image" Target="media/image30.png"/><Relationship Id="rId33" Type="http://schemas.openxmlformats.org/officeDocument/2006/relationships/image" Target="media/image29.png"/><Relationship Id="rId32" Type="http://schemas.openxmlformats.org/officeDocument/2006/relationships/image" Target="media/image28.png"/><Relationship Id="rId31" Type="http://schemas.openxmlformats.org/officeDocument/2006/relationships/image" Target="media/image27.png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457</Words>
  <Characters>2609</Characters>
  <Lines>21</Lines>
  <Paragraphs>6</Paragraphs>
  <TotalTime>0</TotalTime>
  <ScaleCrop>false</ScaleCrop>
  <LinksUpToDate>false</LinksUpToDate>
  <CharactersWithSpaces>3060</CharactersWithSpaces>
  <Application>WPS Office_11.1.0.11045_F1E327BC-269C-435d-A152-05C5408002CA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NTKO</cp:lastModifiedBy>
  <dcterms:modified xsi:type="dcterms:W3CDTF">2021-12-06T06:28:16Z</dcterms:modified>
  <cp:revision>399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2052-11.1.0.11045</vt:lpwstr>
  </property>
  <property fmtid="{D5CDD505-2E9C-101B-9397-08002B2CF9AE}" pid="3" name="ICV">
    <vt:lpwstr>EB5F9E1A2C6346FC87C80B959E36FFA2</vt:lpwstr>
  </property>
</Properties>
</file>