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46456">
      <w:pPr>
        <w:spacing w:line="520" w:lineRule="exact"/>
        <w:rPr>
          <w:rFonts w:hint="default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  <w:t>附件1</w:t>
      </w:r>
    </w:p>
    <w:p w14:paraId="114CAA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val="en-US" w:eastAsia="zh-CN"/>
        </w:rPr>
      </w:pPr>
    </w:p>
    <w:p w14:paraId="787C79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val="en-US" w:eastAsia="zh-CN"/>
        </w:rPr>
        <w:t>环江毛南族自治县本级政府网站和政务新媒体云监测服务采购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评分标准</w:t>
      </w:r>
    </w:p>
    <w:p w14:paraId="3194CE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698" w:firstLineChars="218"/>
        <w:textAlignment w:val="auto"/>
        <w:rPr>
          <w:rFonts w:hAnsi="宋体" w:cs="宋体"/>
          <w:b/>
          <w:color w:val="auto"/>
          <w:sz w:val="32"/>
          <w:szCs w:val="32"/>
        </w:rPr>
      </w:pPr>
    </w:p>
    <w:p w14:paraId="1DD38B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23" w:firstLineChars="218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评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  <w:t>审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依据</w:t>
      </w:r>
    </w:p>
    <w:p w14:paraId="3054D6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51" w:firstLineChars="188"/>
        <w:textAlignment w:val="auto"/>
        <w:rPr>
          <w:rFonts w:hint="eastAsia" w:ascii="仿宋_GB2312" w:hAnsi="宋体" w:eastAsia="仿宋_GB2312" w:cs="宋体"/>
          <w:b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auto"/>
          <w:sz w:val="24"/>
          <w:szCs w:val="24"/>
        </w:rPr>
        <w:t>以响应文件</w:t>
      </w:r>
      <w:r>
        <w:rPr>
          <w:rFonts w:hint="eastAsia" w:ascii="仿宋_GB2312" w:hAnsi="宋体" w:eastAsia="仿宋_GB2312" w:cs="宋体"/>
          <w:bCs/>
          <w:color w:val="auto"/>
          <w:sz w:val="24"/>
          <w:szCs w:val="24"/>
          <w:lang w:val="en-US" w:eastAsia="zh-CN"/>
        </w:rPr>
        <w:t>及相关材料</w:t>
      </w:r>
      <w:r>
        <w:rPr>
          <w:rFonts w:hint="eastAsia" w:ascii="仿宋_GB2312" w:hAnsi="宋体" w:eastAsia="仿宋_GB2312" w:cs="宋体"/>
          <w:bCs/>
          <w:color w:val="auto"/>
          <w:sz w:val="24"/>
          <w:szCs w:val="24"/>
        </w:rPr>
        <w:t>为评审依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据，对供应商的报价、技术及商务等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各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方面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进行综合评定</w:t>
      </w:r>
      <w:r>
        <w:rPr>
          <w:rFonts w:hint="eastAsia" w:ascii="仿宋_GB2312" w:hAnsi="宋体" w:eastAsia="仿宋_GB2312" w:cs="宋体"/>
          <w:b/>
          <w:color w:val="auto"/>
          <w:sz w:val="24"/>
          <w:szCs w:val="24"/>
        </w:rPr>
        <w:t>。</w:t>
      </w:r>
    </w:p>
    <w:p w14:paraId="6D6BCF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70" w:firstLineChars="196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二、评审方式</w:t>
      </w:r>
    </w:p>
    <w:p w14:paraId="5B23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（一）评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分小组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以</w:t>
      </w:r>
      <w:r>
        <w:rPr>
          <w:rFonts w:hint="eastAsia" w:ascii="仿宋_GB2312" w:hAnsi="宋体" w:eastAsia="仿宋_GB2312" w:cs="宋体"/>
          <w:bCs/>
          <w:color w:val="auto"/>
          <w:sz w:val="24"/>
          <w:szCs w:val="24"/>
        </w:rPr>
        <w:t>响应文件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为依据，对</w:t>
      </w:r>
      <w:r>
        <w:rPr>
          <w:rFonts w:hint="eastAsia" w:ascii="仿宋_GB2312" w:hAnsi="宋体" w:eastAsia="仿宋_GB2312" w:cs="宋体"/>
          <w:bCs/>
          <w:color w:val="auto"/>
          <w:sz w:val="24"/>
          <w:szCs w:val="24"/>
        </w:rPr>
        <w:t>响应文件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进行评审，对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人的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报价、技术文件及商务文件等三部分内容按百分制打分，其中价格分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0分，技术分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60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分，商务分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分。</w:t>
      </w:r>
    </w:p>
    <w:p w14:paraId="4FA4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60" w:firstLineChars="192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（二）评分细则：按四舍五入取至小数点后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两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位。</w:t>
      </w:r>
    </w:p>
    <w:p w14:paraId="3F74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right="-57" w:rightChars="-27" w:firstLine="480" w:firstLineChars="200"/>
        <w:textAlignment w:val="auto"/>
        <w:outlineLvl w:val="1"/>
        <w:rPr>
          <w:rFonts w:hint="eastAsia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1．价格分……………………………………………</w:t>
      </w:r>
      <w:r>
        <w:rPr>
          <w:rFonts w:hint="eastAsia" w:ascii="宋体" w:hAnsi="宋体" w:cs="Arial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Arial"/>
          <w:b/>
          <w:color w:val="auto"/>
          <w:kern w:val="0"/>
          <w:sz w:val="24"/>
          <w:szCs w:val="24"/>
        </w:rPr>
        <w:t>满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分）</w:t>
      </w:r>
    </w:p>
    <w:p w14:paraId="5B456D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Ansi="宋体"/>
          <w:b/>
          <w:bCs/>
          <w:color w:val="auto"/>
          <w:sz w:val="24"/>
          <w:szCs w:val="24"/>
        </w:rPr>
      </w:pPr>
      <w:bookmarkStart w:id="0" w:name="_Toc477523327"/>
      <w:r>
        <w:rPr>
          <w:rFonts w:hint="eastAsia" w:hAnsi="宋体"/>
          <w:b/>
          <w:bCs/>
          <w:color w:val="auto"/>
          <w:sz w:val="24"/>
          <w:szCs w:val="24"/>
        </w:rPr>
        <w:t>2.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b/>
          <w:bCs/>
          <w:color w:val="auto"/>
          <w:sz w:val="24"/>
          <w:szCs w:val="24"/>
        </w:rPr>
        <w:t>技术分……………………………………………</w:t>
      </w:r>
      <w:r>
        <w:rPr>
          <w:rFonts w:hint="eastAsia" w:ascii="宋体" w:hAnsi="宋体" w:cs="Arial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Arial"/>
          <w:b/>
          <w:color w:val="auto"/>
          <w:kern w:val="0"/>
          <w:sz w:val="24"/>
          <w:szCs w:val="24"/>
        </w:rPr>
        <w:t>满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</w:t>
      </w:r>
      <w:r>
        <w:rPr>
          <w:rFonts w:hint="eastAsia" w:hAnsi="宋体" w:cs="宋体"/>
          <w:b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分）</w:t>
      </w:r>
    </w:p>
    <w:p w14:paraId="0E018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Ansi="宋体"/>
          <w:color w:val="auto"/>
          <w:sz w:val="24"/>
          <w:szCs w:val="24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</w:rPr>
        <w:t>（1）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监测服务内容响应</w:t>
      </w:r>
      <w:r>
        <w:rPr>
          <w:rFonts w:hint="eastAsia" w:hAnsi="宋体"/>
          <w:b/>
          <w:bCs/>
          <w:color w:val="auto"/>
          <w:sz w:val="24"/>
          <w:szCs w:val="24"/>
        </w:rPr>
        <w:t>分（满分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hAnsi="宋体"/>
          <w:b/>
          <w:bCs/>
          <w:color w:val="auto"/>
          <w:sz w:val="24"/>
          <w:szCs w:val="24"/>
        </w:rPr>
        <w:t>分）</w:t>
      </w:r>
      <w:r>
        <w:rPr>
          <w:rFonts w:hint="eastAsia" w:hAnsi="宋体"/>
          <w:color w:val="auto"/>
          <w:sz w:val="24"/>
          <w:szCs w:val="24"/>
        </w:rPr>
        <w:t>：</w:t>
      </w:r>
    </w:p>
    <w:p w14:paraId="613D8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2" w:firstLineChars="200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</w:rPr>
        <w:t>一档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）：满足</w:t>
      </w:r>
      <w:r>
        <w:rPr>
          <w:rFonts w:hint="eastAsia" w:ascii="仿宋_GB2312" w:hAnsi="宋体" w:eastAsia="仿宋_GB2312" w:cs="宋体"/>
          <w:bCs/>
          <w:color w:val="auto"/>
          <w:sz w:val="24"/>
          <w:szCs w:val="24"/>
        </w:rPr>
        <w:t>响应文件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要求，</w:t>
      </w:r>
      <w:bookmarkStart w:id="1" w:name="OLE_LINK57"/>
      <w:bookmarkStart w:id="2" w:name="OLE_LINK56"/>
      <w:bookmarkStart w:id="3" w:name="OLE_LINK55"/>
      <w:r>
        <w:rPr>
          <w:rFonts w:hint="eastAsia" w:ascii="仿宋_GB2312" w:hAnsi="宋体" w:eastAsia="仿宋_GB2312"/>
          <w:color w:val="auto"/>
          <w:sz w:val="24"/>
          <w:szCs w:val="24"/>
        </w:rPr>
        <w:t>简单描述了服务内容以及服务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方式</w:t>
      </w:r>
      <w:bookmarkEnd w:id="1"/>
      <w:bookmarkEnd w:id="2"/>
      <w:bookmarkEnd w:id="3"/>
      <w:r>
        <w:rPr>
          <w:rFonts w:hint="eastAsia" w:ascii="仿宋_GB2312" w:hAnsi="宋体" w:eastAsia="仿宋_GB2312" w:cs="宋体"/>
          <w:color w:val="auto"/>
          <w:sz w:val="24"/>
          <w:szCs w:val="24"/>
        </w:rPr>
        <w:t>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包含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（1）售后服务承诺、（2）售后服务及保障能力、（3）响应方式、（4）响应流程。方案具有一定的可行性；</w:t>
      </w:r>
    </w:p>
    <w:p w14:paraId="0F423E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2" w:firstLineChars="200"/>
        <w:jc w:val="left"/>
        <w:textAlignment w:val="center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</w:rPr>
        <w:t>二档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）：满足</w:t>
      </w:r>
      <w:r>
        <w:rPr>
          <w:rFonts w:hint="eastAsia" w:ascii="仿宋_GB2312" w:hAnsi="宋体" w:eastAsia="仿宋_GB2312" w:cs="宋体"/>
          <w:bCs/>
          <w:color w:val="auto"/>
          <w:sz w:val="24"/>
          <w:szCs w:val="24"/>
        </w:rPr>
        <w:t>响应文件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要求，详细描述了服务内容以及服务方式，并提供有服务保障方案；至少包含：（1）售后服务承诺、（2）售后服务及保障能力、（3）响应方式、（4）响应流程、（5）服务规范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（6）承诺提供周一至周五全天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在线服务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，采购人提出协助请求后，供应商工程师在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60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分钟内响应处理故障。</w:t>
      </w:r>
    </w:p>
    <w:p w14:paraId="458FBE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2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</w:rPr>
        <w:t>三档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）：提供完备运维方案。至少包含：（1）售后服务承诺、（2）售后服务及保障能力、（3）响应方式、（4）响应流程、（5）服务规范、（6）服务流程的优化、（7）响应时间、（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）技术服务内容、（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）承诺提供周一至周五全天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在线服务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，采购人提出协助请求后，供应商工程师在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分钟内响应处理故障。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运营维护实施方案详细描述了服务内容以及服务方式；并提供有针对性的服务保障方案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或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故障处理方案；维护实施方案在设计时充分考虑用户现有资源，能进行合理的调整。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)</w:t>
      </w:r>
    </w:p>
    <w:p w14:paraId="35D756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监测系统（云平台）功能分</w:t>
      </w:r>
      <w:r>
        <w:rPr>
          <w:rFonts w:hint="eastAsia" w:ascii="宋体" w:hAnsi="宋体" w:cs="Arial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Arial"/>
          <w:b/>
          <w:color w:val="auto"/>
          <w:kern w:val="0"/>
          <w:sz w:val="24"/>
          <w:szCs w:val="24"/>
        </w:rPr>
        <w:t>满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分）</w:t>
      </w:r>
    </w:p>
    <w:p w14:paraId="15E56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仿宋_GB2312" w:hAnsi="宋体" w:eastAsia="仿宋_GB2312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theme="minorBidi"/>
          <w:color w:val="auto"/>
          <w:kern w:val="2"/>
          <w:sz w:val="24"/>
          <w:szCs w:val="24"/>
          <w:lang w:val="en-US" w:eastAsia="zh-CN" w:bidi="ar-SA"/>
        </w:rPr>
        <w:t>要求监测平台PC端功能包含针对错敏词提供PC端提供监测系统说明，需要图文针对监测总览、数据看板、首页更新情况、栏目更新情况、错敏信息情况、隐私泄露、外链暗链、首页连通性、IPV6监测情况、栏目管理和高级服务（报告服务、数据自查、自定义词）、预警方式包括：在线预警、微信预警、短信预警或邮件预警功能、要求针对所提供的系统PC后台系统的真实环境截图和成交后一致、错敏词支持显示字段选择、错敏词支持整改状态检查结果标记整改（已整改、无需整改）支持反馈、复查、纠错、依据提交功能、错敏词支持实时PC业主端后台下载EXCEL表。政务新媒体监测PC端平台系统支持首页页面情况、监测总览、账号更新、错敏信息、隐私泄露、断更统计和高级服务（数据自查、自定义词）等监测页面情况。</w:t>
      </w:r>
    </w:p>
    <w:p w14:paraId="120FF1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2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</w:rPr>
        <w:t>一档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）：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监测系统（云平台）功能单一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，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不能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满足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监测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需求；</w:t>
      </w:r>
    </w:p>
    <w:p w14:paraId="166B23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2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</w:rPr>
        <w:t>二档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）：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监测系统（云平台）功能基本齐全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，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能基本达到监测需求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；</w:t>
      </w:r>
    </w:p>
    <w:p w14:paraId="1C1C03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2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</w:rPr>
        <w:t>三档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（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）：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监测系统（云平台）功能丰富便捷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，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能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满足</w:t>
      </w: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全方面监测需求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；</w:t>
      </w:r>
    </w:p>
    <w:p w14:paraId="24E45D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71" w:firstLineChars="196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Ansi="宋体"/>
          <w:b/>
          <w:color w:val="auto"/>
          <w:sz w:val="24"/>
          <w:szCs w:val="24"/>
        </w:rPr>
        <w:t>3</w:t>
      </w:r>
      <w:r>
        <w:rPr>
          <w:rFonts w:hint="eastAsia" w:hAnsi="宋体"/>
          <w:b/>
          <w:color w:val="auto"/>
          <w:sz w:val="24"/>
          <w:szCs w:val="24"/>
        </w:rPr>
        <w:t>.商务分…………………………………………</w:t>
      </w:r>
      <w:r>
        <w:rPr>
          <w:rFonts w:hint="eastAsia" w:hAnsi="宋体"/>
          <w:b/>
          <w:bCs/>
          <w:color w:val="auto"/>
          <w:sz w:val="24"/>
          <w:szCs w:val="24"/>
        </w:rPr>
        <w:t>…</w:t>
      </w:r>
      <w:r>
        <w:rPr>
          <w:rFonts w:hint="eastAsia" w:ascii="宋体" w:hAnsi="宋体" w:cs="Arial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Arial"/>
          <w:b/>
          <w:color w:val="auto"/>
          <w:kern w:val="0"/>
          <w:sz w:val="24"/>
          <w:szCs w:val="24"/>
        </w:rPr>
        <w:t>满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</w:t>
      </w:r>
      <w:r>
        <w:rPr>
          <w:rFonts w:hint="eastAsia" w:hAnsi="宋体" w:cs="宋体"/>
          <w:b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分）</w:t>
      </w:r>
    </w:p>
    <w:p w14:paraId="76F6F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Ansi="宋体"/>
          <w:color w:val="auto"/>
          <w:sz w:val="24"/>
          <w:szCs w:val="24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</w:rPr>
        <w:t>（1）</w:t>
      </w:r>
      <w:r>
        <w:rPr>
          <w:rFonts w:hint="eastAsia" w:hAnsi="宋体"/>
          <w:b/>
          <w:bCs/>
          <w:color w:val="auto"/>
          <w:sz w:val="24"/>
          <w:szCs w:val="24"/>
        </w:rPr>
        <w:t>项目经验分（满分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hAnsi="宋体"/>
          <w:b/>
          <w:bCs/>
          <w:color w:val="auto"/>
          <w:sz w:val="24"/>
          <w:szCs w:val="24"/>
        </w:rPr>
        <w:t>分）</w:t>
      </w:r>
      <w:r>
        <w:rPr>
          <w:rFonts w:hint="eastAsia" w:hAnsi="宋体"/>
          <w:color w:val="auto"/>
          <w:sz w:val="24"/>
          <w:szCs w:val="24"/>
        </w:rPr>
        <w:t>：</w:t>
      </w:r>
    </w:p>
    <w:p w14:paraId="660821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bCs/>
          <w:color w:val="auto"/>
          <w:sz w:val="24"/>
          <w:szCs w:val="24"/>
        </w:rPr>
        <w:t>供应商20</w:t>
      </w:r>
      <w:r>
        <w:rPr>
          <w:rFonts w:hint="eastAsia" w:ascii="仿宋_GB2312" w:hAnsi="宋体" w:eastAsia="仿宋_GB2312"/>
          <w:bCs/>
          <w:color w:val="auto"/>
          <w:sz w:val="24"/>
          <w:szCs w:val="24"/>
          <w:lang w:val="en-US" w:eastAsia="zh-CN"/>
        </w:rPr>
        <w:t>21</w:t>
      </w:r>
      <w:r>
        <w:rPr>
          <w:rFonts w:hint="eastAsia" w:ascii="仿宋_GB2312" w:hAnsi="宋体" w:eastAsia="仿宋_GB2312"/>
          <w:bCs/>
          <w:color w:val="auto"/>
          <w:sz w:val="24"/>
          <w:szCs w:val="24"/>
        </w:rPr>
        <w:t>年以来有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县级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及以上的政府网站和政务新媒体云监测服务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color w:val="auto"/>
          <w:sz w:val="24"/>
          <w:szCs w:val="24"/>
        </w:rPr>
        <w:t>业绩的（提供合同复印件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相关证明材料</w:t>
      </w:r>
      <w:r>
        <w:rPr>
          <w:rFonts w:hint="eastAsia" w:ascii="仿宋_GB2312" w:hAnsi="宋体" w:eastAsia="仿宋_GB2312"/>
          <w:bCs/>
          <w:color w:val="auto"/>
          <w:sz w:val="24"/>
          <w:szCs w:val="24"/>
        </w:rPr>
        <w:t>），每有一个案例得</w:t>
      </w:r>
      <w:r>
        <w:rPr>
          <w:rFonts w:hint="eastAsia" w:ascii="仿宋_GB2312" w:hAnsi="宋体" w:eastAsia="仿宋_GB2312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auto"/>
          <w:sz w:val="24"/>
          <w:szCs w:val="24"/>
        </w:rPr>
        <w:t>分</w:t>
      </w:r>
      <w:r>
        <w:rPr>
          <w:rFonts w:hint="eastAsia" w:ascii="仿宋_GB2312" w:hAnsi="宋体" w:eastAsia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bCs/>
          <w:color w:val="auto"/>
          <w:sz w:val="24"/>
          <w:szCs w:val="24"/>
          <w:lang w:val="en-US" w:eastAsia="zh-CN"/>
        </w:rPr>
        <w:t>同个案例仅有政府网站或者是政务新媒体的只能算一半分</w:t>
      </w:r>
      <w:r>
        <w:rPr>
          <w:rFonts w:hint="eastAsia" w:ascii="仿宋_GB2312" w:hAnsi="宋体" w:eastAsia="仿宋_GB2312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/>
          <w:bCs/>
          <w:color w:val="auto"/>
          <w:sz w:val="24"/>
          <w:szCs w:val="24"/>
        </w:rPr>
        <w:t>，满分</w:t>
      </w:r>
      <w:r>
        <w:rPr>
          <w:rFonts w:hint="eastAsia" w:ascii="仿宋_GB2312" w:hAnsi="宋体" w:eastAsia="仿宋_GB2312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_GB2312" w:hAnsi="宋体" w:eastAsia="仿宋_GB2312"/>
          <w:bCs/>
          <w:color w:val="auto"/>
          <w:sz w:val="24"/>
          <w:szCs w:val="24"/>
        </w:rPr>
        <w:t>分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。</w:t>
      </w:r>
    </w:p>
    <w:bookmarkEnd w:id="0"/>
    <w:p w14:paraId="1707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60" w:firstLineChars="192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三、成交候选人推荐原则</w:t>
      </w:r>
    </w:p>
    <w:p w14:paraId="55B8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60" w:firstLineChars="192"/>
        <w:textAlignment w:val="auto"/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评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分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小组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将按总得分由高到低排列候选供应商顺序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总分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排名第一的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为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成交候选人。排名第一的成交候选人放弃成交、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因不可抗力提出不能履行合同，采购单位可以确定排名第二的成交候选人为成交人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，也可以重新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公告采购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。</w:t>
      </w:r>
    </w:p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06228"/>
    <w:multiLevelType w:val="singleLevel"/>
    <w:tmpl w:val="61A0622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zM2Yzc5YTJhMWEwOGY3ODljMmM3Zjk0MzA0M2EifQ=="/>
  </w:docVars>
  <w:rsids>
    <w:rsidRoot w:val="00B32987"/>
    <w:rsid w:val="000520DD"/>
    <w:rsid w:val="0006117C"/>
    <w:rsid w:val="000A1037"/>
    <w:rsid w:val="000D4A1F"/>
    <w:rsid w:val="000E23F7"/>
    <w:rsid w:val="000F0CE1"/>
    <w:rsid w:val="00111FF8"/>
    <w:rsid w:val="00126274"/>
    <w:rsid w:val="001364A2"/>
    <w:rsid w:val="00151A75"/>
    <w:rsid w:val="001F37D0"/>
    <w:rsid w:val="00230E78"/>
    <w:rsid w:val="0024725C"/>
    <w:rsid w:val="00257A85"/>
    <w:rsid w:val="0027070E"/>
    <w:rsid w:val="00292450"/>
    <w:rsid w:val="003148F3"/>
    <w:rsid w:val="003161B8"/>
    <w:rsid w:val="00322E17"/>
    <w:rsid w:val="00324EBE"/>
    <w:rsid w:val="00351AA4"/>
    <w:rsid w:val="003716A6"/>
    <w:rsid w:val="0037799D"/>
    <w:rsid w:val="003B3ADC"/>
    <w:rsid w:val="00402366"/>
    <w:rsid w:val="00442CA2"/>
    <w:rsid w:val="00474F8E"/>
    <w:rsid w:val="00480544"/>
    <w:rsid w:val="004C3C0E"/>
    <w:rsid w:val="004E36D9"/>
    <w:rsid w:val="005158D7"/>
    <w:rsid w:val="00575096"/>
    <w:rsid w:val="005A2C54"/>
    <w:rsid w:val="005C50E5"/>
    <w:rsid w:val="005D44D8"/>
    <w:rsid w:val="0060422D"/>
    <w:rsid w:val="0065499F"/>
    <w:rsid w:val="0074733E"/>
    <w:rsid w:val="0077305C"/>
    <w:rsid w:val="00785865"/>
    <w:rsid w:val="008039B3"/>
    <w:rsid w:val="008314DC"/>
    <w:rsid w:val="00872916"/>
    <w:rsid w:val="008A7BD5"/>
    <w:rsid w:val="00911A4C"/>
    <w:rsid w:val="00914FD5"/>
    <w:rsid w:val="00950A54"/>
    <w:rsid w:val="00A34F0C"/>
    <w:rsid w:val="00A37D4E"/>
    <w:rsid w:val="00A74BD0"/>
    <w:rsid w:val="00A87A78"/>
    <w:rsid w:val="00A90B4C"/>
    <w:rsid w:val="00AB14D4"/>
    <w:rsid w:val="00AE4F2A"/>
    <w:rsid w:val="00AF5006"/>
    <w:rsid w:val="00B32987"/>
    <w:rsid w:val="00B62CE7"/>
    <w:rsid w:val="00B9446F"/>
    <w:rsid w:val="00BA5597"/>
    <w:rsid w:val="00BE1AD6"/>
    <w:rsid w:val="00D16F38"/>
    <w:rsid w:val="00E54E3D"/>
    <w:rsid w:val="00E674A7"/>
    <w:rsid w:val="00E826AE"/>
    <w:rsid w:val="00EC1D2C"/>
    <w:rsid w:val="00F02F1E"/>
    <w:rsid w:val="00F05B61"/>
    <w:rsid w:val="00F5366F"/>
    <w:rsid w:val="00F910E8"/>
    <w:rsid w:val="00F963F2"/>
    <w:rsid w:val="00FA24A4"/>
    <w:rsid w:val="00FA5A91"/>
    <w:rsid w:val="02F031BD"/>
    <w:rsid w:val="063A78C0"/>
    <w:rsid w:val="06980D7F"/>
    <w:rsid w:val="06E26B35"/>
    <w:rsid w:val="083E6D88"/>
    <w:rsid w:val="09BA1A9F"/>
    <w:rsid w:val="09D771D4"/>
    <w:rsid w:val="0B962159"/>
    <w:rsid w:val="0C514084"/>
    <w:rsid w:val="0DEA65B5"/>
    <w:rsid w:val="132465B8"/>
    <w:rsid w:val="13E04F89"/>
    <w:rsid w:val="172B3BCD"/>
    <w:rsid w:val="17A16E26"/>
    <w:rsid w:val="17DF516B"/>
    <w:rsid w:val="180E0561"/>
    <w:rsid w:val="190726BB"/>
    <w:rsid w:val="195B1CE4"/>
    <w:rsid w:val="1B0973C6"/>
    <w:rsid w:val="1B642995"/>
    <w:rsid w:val="1BAD248A"/>
    <w:rsid w:val="1D9F5E03"/>
    <w:rsid w:val="205568EC"/>
    <w:rsid w:val="20E87C26"/>
    <w:rsid w:val="2108009E"/>
    <w:rsid w:val="214E366E"/>
    <w:rsid w:val="22C26F9E"/>
    <w:rsid w:val="24666EE4"/>
    <w:rsid w:val="25737681"/>
    <w:rsid w:val="25EF0DD5"/>
    <w:rsid w:val="28060173"/>
    <w:rsid w:val="29E374BE"/>
    <w:rsid w:val="2B4801CD"/>
    <w:rsid w:val="2BB36325"/>
    <w:rsid w:val="2BC31C94"/>
    <w:rsid w:val="2BDF5274"/>
    <w:rsid w:val="2BE710A1"/>
    <w:rsid w:val="2BF2234B"/>
    <w:rsid w:val="2DE652A2"/>
    <w:rsid w:val="2EB51D00"/>
    <w:rsid w:val="2F3111B8"/>
    <w:rsid w:val="30D8598E"/>
    <w:rsid w:val="3187085F"/>
    <w:rsid w:val="33DC30EA"/>
    <w:rsid w:val="34804402"/>
    <w:rsid w:val="34F417F8"/>
    <w:rsid w:val="36305255"/>
    <w:rsid w:val="372E4027"/>
    <w:rsid w:val="39B479DD"/>
    <w:rsid w:val="39CE7142"/>
    <w:rsid w:val="39F2364C"/>
    <w:rsid w:val="39FF3591"/>
    <w:rsid w:val="3A3414B0"/>
    <w:rsid w:val="3A512268"/>
    <w:rsid w:val="3B091033"/>
    <w:rsid w:val="3C7D7D10"/>
    <w:rsid w:val="3D146AB1"/>
    <w:rsid w:val="3EAD3546"/>
    <w:rsid w:val="3F6530F9"/>
    <w:rsid w:val="43E47CA4"/>
    <w:rsid w:val="4608516D"/>
    <w:rsid w:val="465D6B0D"/>
    <w:rsid w:val="475F7F56"/>
    <w:rsid w:val="4AC216DB"/>
    <w:rsid w:val="4B143A22"/>
    <w:rsid w:val="5012167B"/>
    <w:rsid w:val="51646B6C"/>
    <w:rsid w:val="5487471D"/>
    <w:rsid w:val="5A48595F"/>
    <w:rsid w:val="5B252CE1"/>
    <w:rsid w:val="5B5B6A1E"/>
    <w:rsid w:val="5DBE1B9B"/>
    <w:rsid w:val="5E2D6688"/>
    <w:rsid w:val="5E572B4B"/>
    <w:rsid w:val="5F775CBC"/>
    <w:rsid w:val="5FD650D9"/>
    <w:rsid w:val="64897AEE"/>
    <w:rsid w:val="65F6724E"/>
    <w:rsid w:val="6637260C"/>
    <w:rsid w:val="66D25318"/>
    <w:rsid w:val="671539F5"/>
    <w:rsid w:val="675C460C"/>
    <w:rsid w:val="676448CA"/>
    <w:rsid w:val="68021716"/>
    <w:rsid w:val="6CA73045"/>
    <w:rsid w:val="6CB71879"/>
    <w:rsid w:val="6D260D22"/>
    <w:rsid w:val="70273DFF"/>
    <w:rsid w:val="70A928DB"/>
    <w:rsid w:val="70D27883"/>
    <w:rsid w:val="732950C8"/>
    <w:rsid w:val="73A74E3C"/>
    <w:rsid w:val="745332B2"/>
    <w:rsid w:val="74BB7FB7"/>
    <w:rsid w:val="78653FF1"/>
    <w:rsid w:val="78C26286"/>
    <w:rsid w:val="7AEA6680"/>
    <w:rsid w:val="7B5D0F0B"/>
    <w:rsid w:val="7C7B3CA9"/>
    <w:rsid w:val="7CE3100B"/>
    <w:rsid w:val="7D101853"/>
    <w:rsid w:val="7D5F01AF"/>
    <w:rsid w:val="7DBF672C"/>
    <w:rsid w:val="7F7818B1"/>
    <w:rsid w:val="7FE64A6C"/>
    <w:rsid w:val="EBEC6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b-free-read-leaf"/>
    <w:basedOn w:val="12"/>
    <w:qFormat/>
    <w:uiPriority w:val="0"/>
  </w:style>
  <w:style w:type="character" w:customStyle="1" w:styleId="17">
    <w:name w:val="页眉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1381</Words>
  <Characters>1416</Characters>
  <Lines>10</Lines>
  <Paragraphs>3</Paragraphs>
  <TotalTime>1</TotalTime>
  <ScaleCrop>false</ScaleCrop>
  <LinksUpToDate>false</LinksUpToDate>
  <CharactersWithSpaces>1420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2022-06-15T17:07:00Z</dcterms:created>
  <dc:creator>黄勇</dc:creator>
  <cp:lastModifiedBy>另寻沧海</cp:lastModifiedBy>
  <cp:lastPrinted>2022-09-22T11:31:00Z</cp:lastPrinted>
  <dcterms:modified xsi:type="dcterms:W3CDTF">2024-12-24T03:58:40Z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DF4A13F9DAEF46A8A7A01604602B3433_13</vt:lpwstr>
  </property>
</Properties>
</file>