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left="0" w:right="0" w:firstLine="0"/>
        <w:jc w:val="center"/>
        <w:rPr>
          <w:rFonts w:hint="eastAsia" w:ascii="微软雅黑" w:hAnsi="微软雅黑" w:eastAsia="微软雅黑" w:cs="微软雅黑"/>
          <w:b w:val="0"/>
          <w:bCs w:val="0"/>
          <w:i w:val="0"/>
          <w:iCs w:val="0"/>
          <w:caps w:val="0"/>
          <w:color w:val="333333"/>
          <w:spacing w:val="0"/>
          <w:sz w:val="36"/>
          <w:szCs w:val="36"/>
          <w:shd w:val="clear" w:fill="FFFFFF"/>
        </w:rPr>
      </w:pPr>
      <w:r>
        <w:rPr>
          <w:rFonts w:hint="eastAsia" w:ascii="微软雅黑" w:hAnsi="微软雅黑" w:eastAsia="微软雅黑" w:cs="微软雅黑"/>
          <w:b w:val="0"/>
          <w:bCs w:val="0"/>
          <w:i w:val="0"/>
          <w:iCs w:val="0"/>
          <w:caps w:val="0"/>
          <w:color w:val="333333"/>
          <w:spacing w:val="0"/>
          <w:sz w:val="36"/>
          <w:szCs w:val="36"/>
          <w:shd w:val="clear" w:fill="FFFFFF"/>
          <w:lang w:eastAsia="zh-CN"/>
        </w:rPr>
        <w:t>陆川</w:t>
      </w:r>
      <w:r>
        <w:rPr>
          <w:rFonts w:hint="eastAsia" w:ascii="微软雅黑" w:hAnsi="微软雅黑" w:eastAsia="微软雅黑" w:cs="微软雅黑"/>
          <w:b w:val="0"/>
          <w:bCs w:val="0"/>
          <w:i w:val="0"/>
          <w:iCs w:val="0"/>
          <w:caps w:val="0"/>
          <w:color w:val="333333"/>
          <w:spacing w:val="0"/>
          <w:sz w:val="36"/>
          <w:szCs w:val="36"/>
          <w:shd w:val="clear" w:fill="FFFFFF"/>
        </w:rPr>
        <w:t>县公共资源交易投诉处理职责</w:t>
      </w:r>
      <w:r>
        <w:rPr>
          <w:rFonts w:hint="eastAsia" w:ascii="微软雅黑" w:hAnsi="微软雅黑" w:eastAsia="微软雅黑" w:cs="微软雅黑"/>
          <w:b w:val="0"/>
          <w:bCs w:val="0"/>
          <w:i w:val="0"/>
          <w:iCs w:val="0"/>
          <w:caps w:val="0"/>
          <w:color w:val="333333"/>
          <w:spacing w:val="0"/>
          <w:sz w:val="36"/>
          <w:szCs w:val="36"/>
          <w:shd w:val="clear" w:fill="FFFFFF"/>
          <w:lang w:eastAsia="zh-CN"/>
        </w:rPr>
        <w:t>部门</w:t>
      </w:r>
      <w:r>
        <w:rPr>
          <w:rFonts w:hint="eastAsia" w:ascii="微软雅黑" w:hAnsi="微软雅黑" w:eastAsia="微软雅黑" w:cs="微软雅黑"/>
          <w:b w:val="0"/>
          <w:bCs w:val="0"/>
          <w:i w:val="0"/>
          <w:iCs w:val="0"/>
          <w:caps w:val="0"/>
          <w:color w:val="333333"/>
          <w:spacing w:val="0"/>
          <w:sz w:val="36"/>
          <w:szCs w:val="36"/>
          <w:shd w:val="clear" w:fill="FFFFFF"/>
        </w:rPr>
        <w:t>分工清单</w:t>
      </w:r>
    </w:p>
    <w:p/>
    <w:tbl>
      <w:tblPr>
        <w:tblStyle w:val="4"/>
        <w:tblW w:w="0" w:type="auto"/>
        <w:tblInd w:w="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42"/>
        <w:gridCol w:w="1362"/>
        <w:gridCol w:w="6089"/>
        <w:gridCol w:w="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0" w:hRule="atLeast"/>
        </w:trPr>
        <w:tc>
          <w:tcPr>
            <w:tcW w:w="438" w:type="dxa"/>
            <w:tcBorders>
              <w:top w:val="single" w:color="auto" w:sz="8" w:space="0"/>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ascii="宋体" w:hAnsi="宋体" w:eastAsia="宋体" w:cs="宋体"/>
                <w:color w:val="333333"/>
                <w:sz w:val="30"/>
                <w:szCs w:val="30"/>
              </w:rPr>
            </w:pPr>
            <w:r>
              <w:rPr>
                <w:rFonts w:hint="eastAsia" w:ascii="宋体" w:hAnsi="宋体" w:eastAsia="宋体" w:cs="宋体"/>
                <w:b/>
                <w:bCs/>
                <w:color w:val="333333"/>
                <w:sz w:val="30"/>
                <w:szCs w:val="30"/>
                <w:vertAlign w:val="baseline"/>
              </w:rPr>
              <w:t>序号</w:t>
            </w:r>
          </w:p>
        </w:tc>
        <w:tc>
          <w:tcPr>
            <w:tcW w:w="1362" w:type="dxa"/>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ascii="宋体" w:hAnsi="宋体" w:eastAsia="宋体" w:cs="宋体"/>
                <w:color w:val="333333"/>
                <w:sz w:val="30"/>
                <w:szCs w:val="30"/>
              </w:rPr>
            </w:pPr>
            <w:r>
              <w:rPr>
                <w:rFonts w:hint="eastAsia" w:ascii="宋体" w:hAnsi="宋体" w:eastAsia="宋体" w:cs="宋体"/>
                <w:b/>
                <w:bCs/>
                <w:color w:val="333333"/>
                <w:sz w:val="30"/>
                <w:szCs w:val="30"/>
                <w:vertAlign w:val="baseline"/>
              </w:rPr>
              <w:t>受理单位</w:t>
            </w:r>
          </w:p>
        </w:tc>
        <w:tc>
          <w:tcPr>
            <w:tcW w:w="6093" w:type="dxa"/>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ascii="宋体" w:hAnsi="宋体" w:eastAsia="宋体" w:cs="宋体"/>
                <w:color w:val="333333"/>
                <w:sz w:val="30"/>
                <w:szCs w:val="30"/>
              </w:rPr>
            </w:pPr>
            <w:r>
              <w:rPr>
                <w:rFonts w:hint="eastAsia" w:ascii="宋体" w:hAnsi="宋体" w:eastAsia="宋体" w:cs="宋体"/>
                <w:b/>
                <w:bCs/>
                <w:color w:val="333333"/>
                <w:sz w:val="30"/>
                <w:szCs w:val="30"/>
                <w:vertAlign w:val="baseline"/>
              </w:rPr>
              <w:t>受理范围</w:t>
            </w:r>
          </w:p>
        </w:tc>
        <w:tc>
          <w:tcPr>
            <w:tcW w:w="515" w:type="dxa"/>
            <w:tcBorders>
              <w:top w:val="single" w:color="auto" w:sz="8" w:space="0"/>
              <w:left w:val="nil"/>
              <w:bottom w:val="single" w:color="auto" w:sz="8" w:space="0"/>
              <w:right w:val="single" w:color="auto" w:sz="8" w:space="0"/>
            </w:tcBorders>
            <w:shd w:val="clear" w:color="auto" w:fill="auto"/>
            <w:tcMar>
              <w:top w:w="0" w:type="dxa"/>
              <w:left w:w="70" w:type="dxa"/>
              <w:bottom w:w="0" w:type="dxa"/>
              <w:right w:w="7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ascii="宋体" w:hAnsi="宋体" w:eastAsia="宋体" w:cs="宋体"/>
                <w:color w:val="333333"/>
                <w:sz w:val="30"/>
                <w:szCs w:val="30"/>
              </w:rPr>
            </w:pPr>
            <w:r>
              <w:rPr>
                <w:rFonts w:hint="eastAsia" w:ascii="宋体" w:hAnsi="宋体" w:eastAsia="宋体" w:cs="宋体"/>
                <w:b/>
                <w:bCs/>
                <w:color w:val="333333"/>
                <w:sz w:val="30"/>
                <w:szCs w:val="30"/>
                <w:vertAlign w:val="baseli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85"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ascii="Calibri" w:hAnsi="Calibri" w:eastAsia="宋体" w:cs="Calibri"/>
                <w:color w:val="333333"/>
                <w:sz w:val="30"/>
                <w:szCs w:val="30"/>
                <w:vertAlign w:val="baseline"/>
              </w:rPr>
              <w:t>1</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县财政局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负责受理对政府采购货物、服务招标投标活动的投诉，并依法作出处理决定。法律法规对政府采购货物、服务的招标投标活动投诉处理另有规定的，从其规定。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25"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2</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县住房和城乡建设局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负责受理各类房屋建筑及其附属设施的建造和与其配套的线路、管道、设备的安装项目和市政工程项目以及其他由住房和城乡建设部门行使行政监督权的项目招标投标活动的投诉，并依法作出处理。</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7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3</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县交通运输局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负责受理公路、公路桥梁、公路隧道及其附属设施，水上、交通运输辅助业以及其他由交通运输部门行使行政监督权的项目招标投标活动的投诉，并依法作出处理决定。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2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4</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县水利局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负责受理防洪、灌溉排涝、水土保持、水利交通枢纽及其附属设施的建设项目以及其他由水利部门行使行政监督权的项目招标投标</w:t>
            </w:r>
            <w:r>
              <w:rPr>
                <w:rFonts w:hint="eastAsia" w:ascii="宋体" w:hAnsi="宋体" w:eastAsia="宋体" w:cs="宋体"/>
                <w:color w:val="333333"/>
                <w:sz w:val="30"/>
                <w:szCs w:val="30"/>
                <w:vertAlign w:val="baseline"/>
                <w:lang w:eastAsia="zh-CN"/>
              </w:rPr>
              <w:t>的</w:t>
            </w:r>
            <w:r>
              <w:rPr>
                <w:rFonts w:hint="eastAsia" w:ascii="宋体" w:hAnsi="宋体" w:eastAsia="宋体" w:cs="宋体"/>
                <w:color w:val="333333"/>
                <w:sz w:val="30"/>
                <w:szCs w:val="30"/>
                <w:vertAlign w:val="baseline"/>
              </w:rPr>
              <w:t>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4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5</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县自然资源局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负责受理国有土地使用权出让、土地整治、矿业权出让转让以及其他由自然资源和规划部门行使行政监督权的项目招标投标活动的投诉，并依法作出处理决定。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395"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6</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lang w:eastAsia="zh-CN"/>
              </w:rPr>
              <w:t>县</w:t>
            </w:r>
            <w:r>
              <w:rPr>
                <w:rFonts w:hint="eastAsia" w:ascii="宋体" w:hAnsi="宋体" w:eastAsia="宋体" w:cs="宋体"/>
                <w:color w:val="333333"/>
                <w:sz w:val="30"/>
                <w:szCs w:val="30"/>
                <w:vertAlign w:val="baseline"/>
              </w:rPr>
              <w:t>生态环境保护局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负责受理环保专项资金项目招标投标活动的投诉，并依法作出处理决定。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7</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县农业农村局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负责受理农业工程等和农业有关的项目招标投标活动</w:t>
            </w:r>
            <w:r>
              <w:rPr>
                <w:rFonts w:hint="eastAsia" w:ascii="宋体" w:hAnsi="宋体" w:eastAsia="宋体" w:cs="宋体"/>
                <w:color w:val="333333"/>
                <w:sz w:val="30"/>
                <w:szCs w:val="30"/>
                <w:vertAlign w:val="baseline"/>
                <w:lang w:eastAsia="zh-CN"/>
              </w:rPr>
              <w:t>的</w:t>
            </w:r>
            <w:r>
              <w:rPr>
                <w:rFonts w:hint="eastAsia" w:ascii="宋体" w:hAnsi="宋体" w:eastAsia="宋体" w:cs="宋体"/>
                <w:color w:val="333333"/>
                <w:sz w:val="30"/>
                <w:szCs w:val="30"/>
                <w:vertAlign w:val="baseline"/>
              </w:rPr>
              <w:t>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5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8</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县林业局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负责受理林业工程等和林业有关的项目招投投标活动的投诉，并依法作出处理决定。</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ascii="宋体" w:hAnsi="宋体" w:eastAsia="宋体" w:cs="宋体"/>
                <w:color w:val="333333"/>
                <w:sz w:val="30"/>
                <w:szCs w:val="30"/>
              </w:rPr>
            </w:pPr>
            <w:r>
              <w:rPr>
                <w:rFonts w:hint="eastAsia" w:ascii="宋体" w:hAnsi="宋体" w:eastAsia="宋体" w:cs="宋体"/>
                <w:color w:val="333333"/>
                <w:kern w:val="0"/>
                <w:sz w:val="30"/>
                <w:szCs w:val="30"/>
                <w:vertAlign w:val="baseli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90" w:hRule="atLeast"/>
        </w:trPr>
        <w:tc>
          <w:tcPr>
            <w:tcW w:w="438"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baseline"/>
              <w:rPr>
                <w:rFonts w:ascii="宋体" w:hAnsi="宋体" w:eastAsia="宋体" w:cs="宋体"/>
                <w:color w:val="333333"/>
                <w:sz w:val="30"/>
                <w:szCs w:val="30"/>
              </w:rPr>
            </w:pPr>
            <w:r>
              <w:rPr>
                <w:rFonts w:hint="default" w:ascii="Calibri" w:hAnsi="Calibri" w:eastAsia="宋体" w:cs="Calibri"/>
                <w:color w:val="333333"/>
                <w:sz w:val="30"/>
                <w:szCs w:val="30"/>
                <w:vertAlign w:val="baseline"/>
              </w:rPr>
              <w:t>9</w:t>
            </w:r>
          </w:p>
        </w:tc>
        <w:tc>
          <w:tcPr>
            <w:tcW w:w="1362"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baseline"/>
              <w:rPr>
                <w:rFonts w:hint="eastAsia" w:ascii="宋体" w:hAnsi="宋体" w:eastAsia="宋体" w:cs="宋体"/>
                <w:color w:val="333333"/>
                <w:sz w:val="30"/>
                <w:szCs w:val="30"/>
                <w:lang w:eastAsia="zh-CN"/>
              </w:rPr>
            </w:pPr>
            <w:r>
              <w:rPr>
                <w:rFonts w:hint="eastAsia" w:ascii="宋体" w:hAnsi="宋体" w:eastAsia="宋体" w:cs="宋体"/>
                <w:color w:val="333333"/>
                <w:sz w:val="30"/>
                <w:szCs w:val="30"/>
                <w:vertAlign w:val="baseline"/>
              </w:rPr>
              <w:t>县公共资源交易监督管理</w:t>
            </w:r>
            <w:r>
              <w:rPr>
                <w:rFonts w:hint="eastAsia" w:ascii="宋体" w:hAnsi="宋体" w:eastAsia="宋体" w:cs="宋体"/>
                <w:color w:val="333333"/>
                <w:sz w:val="30"/>
                <w:szCs w:val="30"/>
                <w:vertAlign w:val="baseline"/>
                <w:lang w:eastAsia="zh-CN"/>
              </w:rPr>
              <w:t>股（县大数据发展和政务服务局）</w:t>
            </w:r>
          </w:p>
        </w:tc>
        <w:tc>
          <w:tcPr>
            <w:tcW w:w="6093"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1.列入公共资源交易目录的项目规避招标，或未进入</w:t>
            </w:r>
            <w:r>
              <w:rPr>
                <w:rFonts w:hint="eastAsia" w:ascii="宋体" w:hAnsi="宋体" w:eastAsia="宋体" w:cs="宋体"/>
                <w:color w:val="333333"/>
                <w:sz w:val="30"/>
                <w:szCs w:val="30"/>
                <w:vertAlign w:val="baseline"/>
                <w:lang w:eastAsia="zh-CN"/>
              </w:rPr>
              <w:t>县</w:t>
            </w:r>
            <w:r>
              <w:rPr>
                <w:rFonts w:hint="eastAsia" w:ascii="宋体" w:hAnsi="宋体" w:eastAsia="宋体" w:cs="宋体"/>
                <w:color w:val="333333"/>
                <w:sz w:val="30"/>
                <w:szCs w:val="30"/>
                <w:vertAlign w:val="baseline"/>
              </w:rPr>
              <w:t>公共资源交易中心</w:t>
            </w:r>
            <w:r>
              <w:rPr>
                <w:rFonts w:hint="eastAsia" w:ascii="宋体" w:hAnsi="宋体" w:eastAsia="宋体" w:cs="宋体"/>
                <w:color w:val="333333"/>
                <w:sz w:val="30"/>
                <w:szCs w:val="30"/>
                <w:vertAlign w:val="baseline"/>
                <w:lang w:eastAsia="zh-CN"/>
              </w:rPr>
              <w:t>（代理机构有符合条件场所除外）</w:t>
            </w:r>
            <w:r>
              <w:rPr>
                <w:rFonts w:hint="eastAsia" w:ascii="宋体" w:hAnsi="宋体" w:eastAsia="宋体" w:cs="宋体"/>
                <w:color w:val="333333"/>
                <w:sz w:val="30"/>
                <w:szCs w:val="30"/>
                <w:vertAlign w:val="baseline"/>
              </w:rPr>
              <w:t>进行交易的；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rPr>
              <w:t>2.参与招投标活动的当事人不遵守公共资源交易中心开标、评标现场</w:t>
            </w:r>
            <w:r>
              <w:rPr>
                <w:rFonts w:hint="eastAsia" w:ascii="宋体" w:hAnsi="宋体" w:eastAsia="宋体" w:cs="宋体"/>
                <w:color w:val="333333"/>
                <w:sz w:val="30"/>
                <w:szCs w:val="30"/>
                <w:vertAlign w:val="baseline"/>
                <w:lang w:eastAsia="zh-CN"/>
              </w:rPr>
              <w:t>管理</w:t>
            </w:r>
            <w:r>
              <w:rPr>
                <w:rFonts w:hint="eastAsia" w:ascii="宋体" w:hAnsi="宋体" w:eastAsia="宋体" w:cs="宋体"/>
                <w:color w:val="333333"/>
                <w:sz w:val="30"/>
                <w:szCs w:val="30"/>
                <w:vertAlign w:val="baseline"/>
              </w:rPr>
              <w:t>规程的；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lang w:val="en-US" w:eastAsia="zh-CN"/>
              </w:rPr>
              <w:t>3</w:t>
            </w:r>
            <w:r>
              <w:rPr>
                <w:rFonts w:hint="eastAsia" w:ascii="宋体" w:hAnsi="宋体" w:eastAsia="宋体" w:cs="宋体"/>
                <w:color w:val="333333"/>
                <w:sz w:val="30"/>
                <w:szCs w:val="30"/>
                <w:vertAlign w:val="baseline"/>
              </w:rPr>
              <w:t>.评标活动中，评标委员会及其成员或其他当事人存在违法行为的；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00" w:firstLineChars="100"/>
              <w:jc w:val="left"/>
              <w:textAlignment w:val="baseline"/>
              <w:rPr>
                <w:rFonts w:ascii="宋体" w:hAnsi="宋体" w:eastAsia="宋体" w:cs="宋体"/>
                <w:color w:val="333333"/>
                <w:sz w:val="30"/>
                <w:szCs w:val="30"/>
              </w:rPr>
            </w:pPr>
            <w:r>
              <w:rPr>
                <w:rFonts w:hint="eastAsia" w:ascii="宋体" w:hAnsi="宋体" w:eastAsia="宋体" w:cs="宋体"/>
                <w:color w:val="333333"/>
                <w:sz w:val="30"/>
                <w:szCs w:val="30"/>
                <w:vertAlign w:val="baseline"/>
                <w:lang w:val="en-US" w:eastAsia="zh-CN"/>
              </w:rPr>
              <w:t>4</w:t>
            </w:r>
            <w:r>
              <w:rPr>
                <w:rFonts w:hint="eastAsia" w:ascii="宋体" w:hAnsi="宋体" w:eastAsia="宋体" w:cs="宋体"/>
                <w:color w:val="333333"/>
                <w:sz w:val="30"/>
                <w:szCs w:val="30"/>
                <w:vertAlign w:val="baseline"/>
              </w:rPr>
              <w:t>.对于有关行政监督部门需要回避的，没有行政监督部门查处或者行政监督部门查处职责交叉的，以及特别重大的违法行为。</w:t>
            </w:r>
          </w:p>
        </w:tc>
        <w:tc>
          <w:tcPr>
            <w:tcW w:w="515" w:type="dxa"/>
            <w:tcBorders>
              <w:top w:val="nil"/>
              <w:left w:val="nil"/>
              <w:bottom w:val="single" w:color="auto" w:sz="8" w:space="0"/>
              <w:right w:val="single" w:color="auto" w:sz="8" w:space="0"/>
            </w:tcBorders>
            <w:shd w:val="clear" w:color="auto" w:fill="auto"/>
            <w:tcMar>
              <w:top w:w="0" w:type="dxa"/>
              <w:left w:w="70" w:type="dxa"/>
              <w:bottom w:w="0" w:type="dxa"/>
              <w:right w:w="70" w:type="dxa"/>
            </w:tcMar>
            <w:vAlign w:val="top"/>
          </w:tcPr>
          <w:p>
            <w:pPr>
              <w:keepNext w:val="0"/>
              <w:keepLines w:val="0"/>
              <w:pageBreakBefore w:val="0"/>
              <w:kinsoku/>
              <w:wordWrap/>
              <w:overflowPunct/>
              <w:topLinePunct w:val="0"/>
              <w:autoSpaceDE/>
              <w:autoSpaceDN/>
              <w:bidi w:val="0"/>
              <w:adjustRightInd/>
              <w:snapToGrid/>
              <w:spacing w:line="540" w:lineRule="exact"/>
              <w:rPr>
                <w:rFonts w:hint="eastAsia" w:ascii="宋体"/>
                <w:sz w:val="30"/>
                <w:szCs w:val="30"/>
              </w:rPr>
            </w:pPr>
          </w:p>
        </w:tc>
      </w:tr>
    </w:tbl>
    <w:p>
      <w:pPr>
        <w:keepNext w:val="0"/>
        <w:keepLines w:val="0"/>
        <w:pageBreakBefore w:val="0"/>
        <w:kinsoku/>
        <w:wordWrap/>
        <w:overflowPunct/>
        <w:topLinePunct w:val="0"/>
        <w:autoSpaceDE/>
        <w:autoSpaceDN/>
        <w:bidi w:val="0"/>
        <w:adjustRightInd/>
        <w:snapToGrid/>
        <w:spacing w:line="540" w:lineRule="exact"/>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C6232"/>
    <w:rsid w:val="260C6232"/>
    <w:rsid w:val="2B057AE1"/>
    <w:rsid w:val="33880594"/>
    <w:rsid w:val="64441F77"/>
    <w:rsid w:val="6983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2023-04-17T03:39:00Z</dcterms:created>
  <dc:creator>Administrator</dc:creator>
  <cp:lastModifiedBy>Administrator</cp:lastModifiedBy>
  <dcterms:modified xsi:type="dcterms:W3CDTF">2023-07-17T03:38:22Z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54E8840697534751B6705D2FBEBF1094</vt:lpwstr>
  </property>
</Properties>
</file>