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简体" w:hAnsi="方正小标宋简体" w:eastAsia="方正小标宋简体" w:cs="方正小标宋简体"/>
          <w:color w:val="FF0000"/>
          <w:spacing w:val="-20"/>
          <w:w w:val="85"/>
          <w:sz w:val="64"/>
          <w:szCs w:val="64"/>
        </w:rPr>
      </w:pPr>
      <w:r>
        <w:rPr>
          <w:rFonts w:hint="eastAsia" w:ascii="方正小标宋简体" w:hAnsi="方正小标宋简体" w:eastAsia="方正小标宋简体" w:cs="方正小标宋简体"/>
          <w:color w:val="FF0000"/>
          <w:spacing w:val="138"/>
          <w:sz w:val="64"/>
          <w:szCs w:val="64"/>
        </w:rPr>
        <w:pict>
          <v:shape id="_x0000_s2054" o:spid="_x0000_s2054" o:spt="202" type="#_x0000_t202" style="position:absolute;left:0pt;margin-left:357pt;margin-top:23.4pt;height:62.4pt;width:94.5pt;z-index:251660288;mso-width-relative:page;mso-height-relative:page;" filled="f" stroked="f" coordsize="21600,21600">
            <v:path/>
            <v:fill on="f" focussize="0,0"/>
            <v:stroke on="f"/>
            <v:imagedata o:title=""/>
            <o:lock v:ext="edit"/>
            <v:textbox>
              <w:txbxContent>
                <w:p>
                  <w:pPr>
                    <w:rPr>
                      <w:rFonts w:hint="eastAsia" w:ascii="华文中宋" w:hAnsi="华文中宋" w:eastAsia="华文中宋"/>
                      <w:color w:val="FF0000"/>
                      <w:sz w:val="56"/>
                      <w:szCs w:val="56"/>
                    </w:rPr>
                  </w:pPr>
                  <w:r>
                    <w:rPr>
                      <w:rFonts w:hint="eastAsia" w:ascii="方正小标宋简体" w:hAnsi="华文中宋" w:eastAsia="方正小标宋简体"/>
                      <w:color w:val="FF0000"/>
                      <w:spacing w:val="40"/>
                      <w:sz w:val="72"/>
                      <w:szCs w:val="72"/>
                    </w:rPr>
                    <w:t>文件</w:t>
                  </w:r>
                  <w:r>
                    <w:rPr>
                      <w:rFonts w:hint="eastAsia" w:ascii="宋体" w:hAnsi="宋体" w:cs="宋体"/>
                      <w:color w:val="FF0000"/>
                      <w:sz w:val="56"/>
                      <w:szCs w:val="56"/>
                    </w:rPr>
                    <w:t>件件夹文件夹</w:t>
                  </w:r>
                  <w:r>
                    <w:rPr>
                      <w:rFonts w:hint="eastAsia" w:ascii="华文中宋" w:hAnsi="华文中宋" w:eastAsia="华文中宋"/>
                      <w:color w:val="FF0000"/>
                      <w:sz w:val="56"/>
                      <w:szCs w:val="56"/>
                    </w:rPr>
                    <w:t>文件</w:t>
                  </w:r>
                </w:p>
              </w:txbxContent>
            </v:textbox>
          </v:shape>
        </w:pict>
      </w:r>
      <w:r>
        <w:rPr>
          <w:rFonts w:hint="eastAsia" w:ascii="方正小标宋简体" w:hAnsi="方正小标宋简体" w:eastAsia="方正小标宋简体" w:cs="方正小标宋简体"/>
          <w:color w:val="FF0000"/>
          <w:spacing w:val="-20"/>
          <w:w w:val="85"/>
          <w:sz w:val="64"/>
          <w:szCs w:val="64"/>
          <w:lang w:eastAsia="zh-CN"/>
        </w:rPr>
        <w:t>陆川县大</w:t>
      </w:r>
      <w:r>
        <w:rPr>
          <w:rFonts w:hint="eastAsia" w:ascii="方正小标宋简体" w:hAnsi="方正小标宋简体" w:eastAsia="方正小标宋简体" w:cs="方正小标宋简体"/>
          <w:color w:val="FF0000"/>
          <w:spacing w:val="-20"/>
          <w:w w:val="85"/>
          <w:sz w:val="64"/>
          <w:szCs w:val="64"/>
        </w:rPr>
        <w:t>数据发展和政务服务局</w:t>
      </w:r>
    </w:p>
    <w:p>
      <w:pPr>
        <w:rPr>
          <w:rFonts w:hint="eastAsia" w:ascii="仿宋_GB2312" w:hAnsi="华文中宋" w:eastAsia="仿宋_GB2312"/>
          <w:sz w:val="32"/>
          <w:szCs w:val="32"/>
          <w:lang w:eastAsia="zh-CN"/>
        </w:rPr>
      </w:pPr>
      <w:r>
        <w:rPr>
          <w:rFonts w:hint="eastAsia" w:ascii="方正小标宋简体" w:hAnsi="方正小标宋简体" w:eastAsia="方正小标宋简体" w:cs="方正小标宋简体"/>
          <w:color w:val="FF0000"/>
          <w:spacing w:val="138"/>
          <w:sz w:val="64"/>
          <w:szCs w:val="64"/>
          <w:lang w:eastAsia="zh-CN"/>
        </w:rPr>
        <w:t>陆川县</w:t>
      </w:r>
      <w:r>
        <w:rPr>
          <w:rFonts w:hint="eastAsia" w:ascii="方正小标宋简体" w:hAnsi="方正小标宋简体" w:eastAsia="方正小标宋简体" w:cs="方正小标宋简体"/>
          <w:color w:val="FF0000"/>
          <w:spacing w:val="138"/>
          <w:sz w:val="64"/>
          <w:szCs w:val="64"/>
        </w:rPr>
        <w:t>交通运输</w:t>
      </w:r>
      <w:r>
        <w:rPr>
          <w:rFonts w:hint="eastAsia" w:ascii="方正小标宋简体" w:hAnsi="方正小标宋简体" w:eastAsia="方正小标宋简体" w:cs="方正小标宋简体"/>
          <w:color w:val="FF0000"/>
          <w:sz w:val="64"/>
          <w:szCs w:val="64"/>
        </w:rPr>
        <w:t>局</w:t>
      </w:r>
    </w:p>
    <w:p>
      <w:pPr>
        <w:pStyle w:val="5"/>
        <w:widowControl/>
        <w:shd w:val="clear" w:color="auto" w:fill="FFFFFF"/>
        <w:spacing w:after="76" w:line="540" w:lineRule="atLeast"/>
        <w:jc w:val="center"/>
        <w:rPr>
          <w:rFonts w:hint="eastAsia" w:ascii="方正小标宋简体" w:eastAsia="方正小标宋简体"/>
          <w:bCs/>
          <w:color w:val="FF0000"/>
          <w:spacing w:val="28"/>
          <w:w w:val="80"/>
          <w:sz w:val="32"/>
          <w:szCs w:val="32"/>
        </w:rPr>
      </w:pPr>
      <w:r>
        <w:rPr>
          <w:rFonts w:hint="eastAsia" w:ascii="仿宋_GB2312" w:hAnsi="华文中宋" w:eastAsia="仿宋_GB2312"/>
          <w:sz w:val="32"/>
          <w:szCs w:val="32"/>
          <w:lang w:eastAsia="zh-CN"/>
        </w:rPr>
        <w:t>陆</w:t>
      </w:r>
      <w:r>
        <w:rPr>
          <w:rFonts w:hint="eastAsia" w:ascii="仿宋_GB2312" w:hAnsi="华文中宋" w:eastAsia="仿宋_GB2312"/>
          <w:sz w:val="32"/>
          <w:szCs w:val="32"/>
        </w:rPr>
        <w:t>数政发〔202</w:t>
      </w:r>
      <w:r>
        <w:rPr>
          <w:rFonts w:hint="eastAsia" w:ascii="仿宋_GB2312" w:hAnsi="华文中宋" w:eastAsia="仿宋_GB2312"/>
          <w:sz w:val="32"/>
          <w:szCs w:val="32"/>
          <w:lang w:val="en-US" w:eastAsia="zh-CN"/>
        </w:rPr>
        <w:t>2</w:t>
      </w:r>
      <w:r>
        <w:rPr>
          <w:rFonts w:hint="eastAsia" w:ascii="仿宋_GB2312" w:hAnsi="华文中宋" w:eastAsia="仿宋_GB2312"/>
          <w:sz w:val="32"/>
          <w:szCs w:val="32"/>
        </w:rPr>
        <w:t>〕</w:t>
      </w:r>
      <w:r>
        <w:rPr>
          <w:rFonts w:hint="eastAsia" w:ascii="仿宋_GB2312" w:hAnsi="华文中宋" w:eastAsia="仿宋_GB2312"/>
          <w:sz w:val="32"/>
          <w:szCs w:val="32"/>
          <w:lang w:val="en-US" w:eastAsia="zh-CN"/>
        </w:rPr>
        <w:t>14</w:t>
      </w:r>
      <w:r>
        <w:rPr>
          <w:rFonts w:hint="eastAsia" w:ascii="仿宋_GB2312" w:hAnsi="华文中宋" w:eastAsia="仿宋_GB2312"/>
          <w:sz w:val="32"/>
          <w:szCs w:val="32"/>
        </w:rPr>
        <w:t>号</w:t>
      </w:r>
    </w:p>
    <w:p>
      <w:pPr>
        <w:jc w:val="right"/>
        <w:rPr>
          <w:rFonts w:hint="eastAsia" w:ascii="仿宋_GB2312" w:hAnsi="华文中宋" w:eastAsia="仿宋_GB2312"/>
          <w:sz w:val="32"/>
          <w:szCs w:val="32"/>
          <w:lang w:eastAsia="zh-CN"/>
        </w:rPr>
      </w:pPr>
      <w:r>
        <w:rPr>
          <w:rFonts w:hint="eastAsia" w:ascii="仿宋_GB2312" w:eastAsia="仿宋_GB2312"/>
          <w:sz w:val="32"/>
          <w:szCs w:val="32"/>
        </w:rPr>
        <w:pict>
          <v:line id="_x0000_s2055" o:spid="_x0000_s2055" o:spt="20" style="position:absolute;left:0pt;margin-left:-18pt;margin-top:8.85pt;height:0pt;width:477pt;z-index:251662336;mso-width-relative:page;mso-height-relative:page;" filled="f" stroked="t" coordsize="21600,21600">
            <v:path arrowok="t"/>
            <v:fill on="f" focussize="0,0"/>
            <v:stroke color="#FF0000"/>
            <v:imagedata o:title=""/>
            <o:lock v:ext="edit"/>
          </v:line>
        </w:pict>
      </w:r>
      <w:r>
        <w:rPr>
          <w:rFonts w:hint="eastAsia" w:ascii="仿宋_GB2312" w:eastAsia="仿宋_GB2312"/>
          <w:sz w:val="32"/>
          <w:szCs w:val="32"/>
        </w:rPr>
        <w:pict>
          <v:line id="_x0000_s2056" o:spid="_x0000_s2056" o:spt="20" style="position:absolute;left:0pt;flip:y;margin-left:-18pt;margin-top:5.55pt;height:0pt;width:477pt;z-index:251661312;mso-width-relative:page;mso-height-relative:page;" filled="f" stroked="t" coordsize="21600,21600">
            <v:path arrowok="t"/>
            <v:fill on="f" focussize="0,0"/>
            <v:stroke weight="2pt" color="#FF0000"/>
            <v:imagedata o:title=""/>
            <o:lock v:ext="edit"/>
          </v:line>
        </w:pict>
      </w:r>
    </w:p>
    <w:p>
      <w:pPr>
        <w:pStyle w:val="5"/>
        <w:keepNext w:val="0"/>
        <w:keepLines w:val="0"/>
        <w:pageBreakBefore w:val="0"/>
        <w:widowControl/>
        <w:shd w:val="clear" w:color="auto" w:fill="FFFFFF"/>
        <w:kinsoku/>
        <w:wordWrap/>
        <w:overflowPunct/>
        <w:topLinePunct w:val="0"/>
        <w:autoSpaceDE/>
        <w:autoSpaceDN/>
        <w:bidi w:val="0"/>
        <w:adjustRightInd/>
        <w:snapToGrid/>
        <w:spacing w:after="76" w:line="560" w:lineRule="exact"/>
        <w:jc w:val="center"/>
        <w:textAlignment w:val="auto"/>
        <w:rPr>
          <w:rFonts w:hint="eastAsia" w:ascii="方正小标宋简体" w:hAnsi="方正小标宋简体" w:eastAsia="方正小标宋简体" w:cs="方正小标宋简体"/>
          <w:b w:val="0"/>
          <w:bCs w:val="0"/>
          <w:color w:val="000000" w:themeColor="text1"/>
          <w:sz w:val="44"/>
          <w:szCs w:val="44"/>
          <w:shd w:val="clear" w:color="auto" w:fill="FFFFFF"/>
        </w:rPr>
      </w:pPr>
      <w:r>
        <w:rPr>
          <w:rFonts w:hint="eastAsia" w:ascii="方正小标宋简体" w:hAnsi="方正小标宋简体" w:eastAsia="方正小标宋简体" w:cs="方正小标宋简体"/>
          <w:b w:val="0"/>
          <w:bCs w:val="0"/>
          <w:color w:val="000000" w:themeColor="text1"/>
          <w:sz w:val="44"/>
          <w:szCs w:val="44"/>
          <w:shd w:val="clear" w:color="auto" w:fill="FFFFFF"/>
          <w:lang w:eastAsia="zh-CN"/>
        </w:rPr>
        <w:t>陆川</w:t>
      </w:r>
      <w:r>
        <w:rPr>
          <w:rFonts w:hint="eastAsia" w:ascii="方正小标宋简体" w:hAnsi="方正小标宋简体" w:eastAsia="方正小标宋简体" w:cs="方正小标宋简体"/>
          <w:b w:val="0"/>
          <w:bCs w:val="0"/>
          <w:color w:val="000000" w:themeColor="text1"/>
          <w:sz w:val="44"/>
          <w:szCs w:val="44"/>
          <w:shd w:val="clear" w:color="auto" w:fill="FFFFFF"/>
        </w:rPr>
        <w:t>县大数据发展和政务服务局</w:t>
      </w:r>
      <w:r>
        <w:rPr>
          <w:rFonts w:hint="eastAsia" w:ascii="方正小标宋简体" w:hAnsi="方正小标宋简体" w:eastAsia="方正小标宋简体" w:cs="方正小标宋简体"/>
          <w:b w:val="0"/>
          <w:bCs w:val="0"/>
          <w:color w:val="000000" w:themeColor="text1"/>
          <w:sz w:val="44"/>
          <w:szCs w:val="44"/>
          <w:shd w:val="clear" w:color="auto" w:fill="FFFFFF"/>
          <w:lang w:val="en-US" w:eastAsia="zh-CN"/>
        </w:rPr>
        <w:t xml:space="preserve">  </w:t>
      </w:r>
      <w:r>
        <w:rPr>
          <w:rFonts w:hint="eastAsia" w:ascii="方正小标宋简体" w:hAnsi="方正小标宋简体" w:eastAsia="方正小标宋简体" w:cs="方正小标宋简体"/>
          <w:b w:val="0"/>
          <w:bCs w:val="0"/>
          <w:color w:val="000000" w:themeColor="text1"/>
          <w:sz w:val="44"/>
          <w:szCs w:val="44"/>
          <w:shd w:val="clear" w:color="auto" w:fill="FFFFFF"/>
          <w:lang w:eastAsia="zh-CN"/>
        </w:rPr>
        <w:t>陆川</w:t>
      </w:r>
      <w:r>
        <w:rPr>
          <w:rFonts w:hint="eastAsia" w:ascii="方正小标宋简体" w:hAnsi="方正小标宋简体" w:eastAsia="方正小标宋简体" w:cs="方正小标宋简体"/>
          <w:b w:val="0"/>
          <w:bCs w:val="0"/>
          <w:color w:val="000000" w:themeColor="text1"/>
          <w:sz w:val="44"/>
          <w:szCs w:val="44"/>
          <w:shd w:val="clear" w:color="auto" w:fill="FFFFFF"/>
        </w:rPr>
        <w:t>县交通运输局关于推行全县交通工程（公路、水运）项目网上开标工作的通知</w:t>
      </w:r>
    </w:p>
    <w:p>
      <w:pPr>
        <w:pStyle w:val="5"/>
        <w:keepNext w:val="0"/>
        <w:keepLines w:val="0"/>
        <w:pageBreakBefore w:val="0"/>
        <w:widowControl/>
        <w:shd w:val="clear" w:color="auto" w:fill="FFFFFF"/>
        <w:kinsoku/>
        <w:wordWrap/>
        <w:overflowPunct/>
        <w:topLinePunct w:val="0"/>
        <w:autoSpaceDE/>
        <w:autoSpaceDN/>
        <w:bidi w:val="0"/>
        <w:adjustRightInd/>
        <w:snapToGrid/>
        <w:spacing w:after="76" w:line="560" w:lineRule="exact"/>
        <w:textAlignment w:val="auto"/>
        <w:rPr>
          <w:rFonts w:hint="eastAsia" w:ascii="仿宋" w:hAnsi="仿宋" w:eastAsia="仿宋" w:cs="仿宋"/>
          <w:color w:val="424242"/>
          <w:sz w:val="32"/>
          <w:szCs w:val="32"/>
          <w:shd w:val="clear" w:color="auto" w:fill="FFFFFF"/>
        </w:rPr>
      </w:pPr>
    </w:p>
    <w:p>
      <w:pPr>
        <w:pStyle w:val="5"/>
        <w:keepNext w:val="0"/>
        <w:keepLines w:val="0"/>
        <w:pageBreakBefore w:val="0"/>
        <w:widowControl/>
        <w:shd w:val="clear" w:color="auto" w:fill="FFFFFF"/>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县公共资源交易中心，各有关单位：</w:t>
      </w:r>
    </w:p>
    <w:p>
      <w:pPr>
        <w:pStyle w:val="5"/>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为贯彻落实国家、自治区</w:t>
      </w:r>
      <w:r>
        <w:rPr>
          <w:rFonts w:hint="eastAsia" w:ascii="仿宋_GB2312" w:hAnsi="仿宋_GB2312" w:eastAsia="仿宋_GB2312" w:cs="仿宋_GB2312"/>
          <w:color w:val="auto"/>
          <w:sz w:val="32"/>
          <w:szCs w:val="32"/>
          <w:shd w:val="clear" w:color="auto" w:fill="FFFFFF"/>
          <w:lang w:eastAsia="zh-CN"/>
        </w:rPr>
        <w:t>和玉林市</w:t>
      </w:r>
      <w:r>
        <w:rPr>
          <w:rFonts w:hint="eastAsia" w:ascii="仿宋_GB2312" w:hAnsi="仿宋_GB2312" w:eastAsia="仿宋_GB2312" w:cs="仿宋_GB2312"/>
          <w:color w:val="auto"/>
          <w:sz w:val="32"/>
          <w:szCs w:val="32"/>
          <w:shd w:val="clear" w:color="auto" w:fill="FFFFFF"/>
        </w:rPr>
        <w:t>关于深化公共资源交易平台整合共享以及优化营商环境有关部署要求，根据《广西壮族自治区机关事务管理局 广西壮族自治区交通运输厅关于推行全区交通工程（公路、水运）项目网上开标工作的通知》（桂事管发〔2022〕26号）和《玉林市大数据发展和政务服务局 玉林市交通运输局关于推行全市交通工程（公路、水运）项目网上开标工作的通知》（玉数政发〔2022〕10号）的要求，经研究，决定在全县推行交通工程（公路、水运）项目网上开标（不见面方式开标）。现将有关事项通知如下：</w:t>
      </w:r>
    </w:p>
    <w:p>
      <w:pPr>
        <w:pStyle w:val="5"/>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一、自2022年11月</w:t>
      </w:r>
      <w:r>
        <w:rPr>
          <w:rFonts w:hint="eastAsia" w:ascii="仿宋_GB2312" w:hAnsi="仿宋_GB2312" w:eastAsia="仿宋_GB2312" w:cs="仿宋_GB2312"/>
          <w:color w:val="auto"/>
          <w:sz w:val="32"/>
          <w:szCs w:val="32"/>
          <w:shd w:val="clear" w:color="auto" w:fill="FFFFFF"/>
          <w:lang w:val="en-US" w:eastAsia="zh-CN"/>
        </w:rPr>
        <w:t>25</w:t>
      </w:r>
      <w:r>
        <w:rPr>
          <w:rFonts w:hint="eastAsia" w:ascii="仿宋_GB2312" w:hAnsi="仿宋_GB2312" w:eastAsia="仿宋_GB2312" w:cs="仿宋_GB2312"/>
          <w:color w:val="auto"/>
          <w:sz w:val="32"/>
          <w:szCs w:val="32"/>
          <w:shd w:val="clear" w:color="auto" w:fill="FFFFFF"/>
        </w:rPr>
        <w:t>日起，新进入县公共资源交易中心交易的交通工程（公路、水运）招标投标项目实行网上开标。</w:t>
      </w:r>
    </w:p>
    <w:p>
      <w:pPr>
        <w:pStyle w:val="5"/>
        <w:keepNext w:val="0"/>
        <w:keepLines w:val="0"/>
        <w:pageBreakBefore w:val="0"/>
        <w:widowControl/>
        <w:kinsoku/>
        <w:wordWrap/>
        <w:overflowPunct/>
        <w:topLinePunct w:val="0"/>
        <w:autoSpaceDE/>
        <w:autoSpaceDN/>
        <w:bidi w:val="0"/>
        <w:adjustRightInd/>
        <w:snapToGrid/>
        <w:spacing w:line="560" w:lineRule="exact"/>
        <w:ind w:firstLine="62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二、招标人或委托的代理机构应按照招标文件范本要求实行网上开标（不见面方式开标）。各投标人可选择不到现场，通过广西壮族自治区公共资源交易平台系统线上参与开标。</w:t>
      </w:r>
    </w:p>
    <w:p>
      <w:pPr>
        <w:pStyle w:val="5"/>
        <w:keepNext w:val="0"/>
        <w:keepLines w:val="0"/>
        <w:pageBreakBefore w:val="0"/>
        <w:widowControl/>
        <w:kinsoku/>
        <w:wordWrap/>
        <w:overflowPunct/>
        <w:topLinePunct w:val="0"/>
        <w:autoSpaceDE/>
        <w:autoSpaceDN/>
        <w:bidi w:val="0"/>
        <w:adjustRightInd/>
        <w:snapToGrid/>
        <w:spacing w:line="560" w:lineRule="exact"/>
        <w:ind w:firstLine="62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三、因网络故障、平台系统漏洞或招标人（招标代理机构）、评标委员会操作失误导致项目电子招标投标活动无法正常进行的，招标人（招标代理机构）应及时向县公共资源交易中心报告，经招标人（招标代理机构）、公共资源交易中心、平台系统建设管理单位、行政监督部门四方确认事实后，采取以下办法处理：</w:t>
      </w:r>
    </w:p>
    <w:p>
      <w:pPr>
        <w:pStyle w:val="5"/>
        <w:keepNext w:val="0"/>
        <w:keepLines w:val="0"/>
        <w:pageBreakBefore w:val="0"/>
        <w:widowControl/>
        <w:kinsoku/>
        <w:wordWrap/>
        <w:overflowPunct/>
        <w:topLinePunct w:val="0"/>
        <w:autoSpaceDE/>
        <w:autoSpaceDN/>
        <w:bidi w:val="0"/>
        <w:adjustRightInd/>
        <w:snapToGrid/>
        <w:spacing w:line="560" w:lineRule="exact"/>
        <w:ind w:firstLine="62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（一）项目尚未开标的，暂停开标，待公共资源交易中心组织技术人员排除故障或修复系统漏洞后重新开标；</w:t>
      </w:r>
    </w:p>
    <w:p>
      <w:pPr>
        <w:pStyle w:val="5"/>
        <w:keepNext w:val="0"/>
        <w:keepLines w:val="0"/>
        <w:pageBreakBefore w:val="0"/>
        <w:widowControl/>
        <w:kinsoku/>
        <w:wordWrap/>
        <w:overflowPunct/>
        <w:topLinePunct w:val="0"/>
        <w:autoSpaceDE/>
        <w:autoSpaceDN/>
        <w:bidi w:val="0"/>
        <w:adjustRightInd/>
        <w:snapToGrid/>
        <w:spacing w:line="560" w:lineRule="exact"/>
        <w:ind w:firstLine="62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（二）项目已启动开标但尚未结束、且无法正常继续进行的，暂停开标，对原有资料及信息进行保密处理，待公共资源交易中心组织技术人员排除故障或修复系统漏洞后继续开标；</w:t>
      </w:r>
    </w:p>
    <w:p>
      <w:pPr>
        <w:pStyle w:val="5"/>
        <w:keepNext w:val="0"/>
        <w:keepLines w:val="0"/>
        <w:pageBreakBefore w:val="0"/>
        <w:widowControl/>
        <w:kinsoku/>
        <w:wordWrap/>
        <w:overflowPunct/>
        <w:topLinePunct w:val="0"/>
        <w:autoSpaceDE/>
        <w:autoSpaceDN/>
        <w:bidi w:val="0"/>
        <w:adjustRightInd/>
        <w:snapToGrid/>
        <w:spacing w:line="560" w:lineRule="exact"/>
        <w:ind w:firstLine="62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三）项目进入评标阶段、无法正常继续评标的，暂停评标，评标委员会成员不得离开评标区域，待公共资源交易中心组织技术人员排除故障或修复系统漏洞后继续评标。若排除故障或修复系统漏洞时间超过3个小时的，由招标人决定采用线下模式继续评审或者宣布招标失败，同时向公共资源交易中心、平台系统建设管理单位、行政监督部门备案。</w:t>
      </w:r>
    </w:p>
    <w:p>
      <w:pPr>
        <w:pStyle w:val="5"/>
        <w:keepNext w:val="0"/>
        <w:keepLines w:val="0"/>
        <w:pageBreakBefore w:val="0"/>
        <w:widowControl/>
        <w:kinsoku/>
        <w:wordWrap/>
        <w:overflowPunct/>
        <w:topLinePunct w:val="0"/>
        <w:autoSpaceDE/>
        <w:autoSpaceDN/>
        <w:bidi w:val="0"/>
        <w:adjustRightInd/>
        <w:snapToGrid/>
        <w:spacing w:line="560" w:lineRule="exact"/>
        <w:ind w:firstLine="62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四、县大数据发展和政务服务局、交通运输局加强</w:t>
      </w:r>
      <w:r>
        <w:rPr>
          <w:rFonts w:hint="eastAsia" w:ascii="仿宋_GB2312" w:hAnsi="仿宋_GB2312" w:eastAsia="仿宋_GB2312" w:cs="仿宋_GB2312"/>
          <w:color w:val="auto"/>
          <w:sz w:val="32"/>
          <w:szCs w:val="32"/>
        </w:rPr>
        <w:t>对辖区</w:t>
      </w:r>
      <w:r>
        <w:rPr>
          <w:rFonts w:hint="eastAsia" w:ascii="仿宋_GB2312" w:hAnsi="仿宋_GB2312" w:eastAsia="仿宋_GB2312" w:cs="仿宋_GB2312"/>
          <w:color w:val="auto"/>
          <w:sz w:val="32"/>
          <w:szCs w:val="32"/>
          <w:shd w:val="clear" w:color="auto" w:fill="FFFFFF"/>
        </w:rPr>
        <w:t>交通工程（公路、水运）项目网上开标工作的指导监督，合力营造公平公正、便民高效的招标投标环境。</w:t>
      </w:r>
    </w:p>
    <w:p>
      <w:pPr>
        <w:pStyle w:val="5"/>
        <w:keepNext w:val="0"/>
        <w:keepLines w:val="0"/>
        <w:pageBreakBefore w:val="0"/>
        <w:widowControl/>
        <w:kinsoku/>
        <w:wordWrap/>
        <w:overflowPunct/>
        <w:topLinePunct w:val="0"/>
        <w:autoSpaceDE/>
        <w:autoSpaceDN/>
        <w:bidi w:val="0"/>
        <w:adjustRightInd/>
        <w:snapToGrid/>
        <w:spacing w:line="560" w:lineRule="exact"/>
        <w:ind w:firstLine="62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五、在正式应用网上开标时，投标人应提前做好个人CA办理等与网上开标有关的工作。县公共资源交易中心做好应急保障方案和应对措施，确保交通工程（公路、水运）项目网上开标工作顺利进行。</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sz w:val="32"/>
          <w:szCs w:val="32"/>
          <w:lang w:eastAsia="zh-CN"/>
        </w:rPr>
        <w:t>陆川</w:t>
      </w:r>
      <w:r>
        <w:rPr>
          <w:rFonts w:hint="eastAsia" w:ascii="仿宋_GB2312" w:hAnsi="仿宋_GB2312" w:eastAsia="仿宋_GB2312" w:cs="仿宋_GB2312"/>
          <w:color w:val="auto"/>
          <w:kern w:val="0"/>
          <w:sz w:val="32"/>
          <w:szCs w:val="32"/>
          <w:shd w:val="clear" w:color="auto" w:fill="FFFFFF"/>
        </w:rPr>
        <w:t xml:space="preserve">县大数据发展和政务服务局       </w:t>
      </w:r>
      <w:r>
        <w:rPr>
          <w:rFonts w:hint="eastAsia" w:ascii="仿宋_GB2312" w:hAnsi="仿宋_GB2312" w:eastAsia="仿宋_GB2312" w:cs="仿宋_GB2312"/>
          <w:color w:val="auto"/>
          <w:kern w:val="0"/>
          <w:sz w:val="32"/>
          <w:szCs w:val="32"/>
          <w:shd w:val="clear" w:color="auto" w:fill="FFFFFF"/>
          <w:lang w:eastAsia="zh-CN"/>
        </w:rPr>
        <w:t>陆川</w:t>
      </w:r>
      <w:r>
        <w:rPr>
          <w:rFonts w:hint="eastAsia" w:ascii="仿宋_GB2312" w:hAnsi="仿宋_GB2312" w:eastAsia="仿宋_GB2312" w:cs="仿宋_GB2312"/>
          <w:color w:val="auto"/>
          <w:kern w:val="0"/>
          <w:sz w:val="32"/>
          <w:szCs w:val="32"/>
          <w:shd w:val="clear" w:color="auto" w:fill="FFFFFF"/>
        </w:rPr>
        <w:t>县交通运输局</w:t>
      </w:r>
    </w:p>
    <w:p>
      <w:pPr>
        <w:keepNext w:val="0"/>
        <w:keepLines w:val="0"/>
        <w:pageBreakBefore w:val="0"/>
        <w:kinsoku/>
        <w:wordWrap/>
        <w:overflowPunct/>
        <w:topLinePunct w:val="0"/>
        <w:autoSpaceDE/>
        <w:autoSpaceDN/>
        <w:bidi w:val="0"/>
        <w:adjustRightInd/>
        <w:snapToGrid/>
        <w:spacing w:line="560" w:lineRule="exact"/>
        <w:ind w:firstLine="960" w:firstLineChars="300"/>
        <w:textAlignment w:val="auto"/>
        <w:rPr>
          <w:rFonts w:hint="eastAsia" w:ascii="仿宋_GB2312" w:hAnsi="仿宋_GB2312" w:eastAsia="仿宋_GB2312" w:cs="仿宋_GB2312"/>
          <w:color w:val="auto"/>
          <w:kern w:val="0"/>
          <w:sz w:val="32"/>
          <w:szCs w:val="32"/>
          <w:shd w:val="clear" w:color="auto" w:fill="FFFFFF"/>
        </w:rPr>
      </w:pPr>
    </w:p>
    <w:p>
      <w:pPr>
        <w:keepNext w:val="0"/>
        <w:keepLines w:val="0"/>
        <w:pageBreakBefore w:val="0"/>
        <w:kinsoku/>
        <w:wordWrap/>
        <w:overflowPunct/>
        <w:topLinePunct w:val="0"/>
        <w:autoSpaceDE/>
        <w:autoSpaceDN/>
        <w:bidi w:val="0"/>
        <w:adjustRightInd/>
        <w:snapToGrid/>
        <w:spacing w:line="560" w:lineRule="exact"/>
        <w:ind w:firstLine="960" w:firstLineChars="300"/>
        <w:textAlignment w:val="auto"/>
        <w:rPr>
          <w:rFonts w:hint="eastAsia" w:ascii="仿宋_GB2312" w:hAnsi="仿宋_GB2312" w:eastAsia="仿宋_GB2312" w:cs="仿宋_GB2312"/>
          <w:color w:val="auto"/>
          <w:kern w:val="0"/>
          <w:sz w:val="32"/>
          <w:szCs w:val="32"/>
          <w:shd w:val="clear" w:color="auto" w:fill="FFFFFF"/>
        </w:rPr>
      </w:pPr>
    </w:p>
    <w:p>
      <w:pPr>
        <w:keepNext w:val="0"/>
        <w:keepLines w:val="0"/>
        <w:pageBreakBefore w:val="0"/>
        <w:kinsoku/>
        <w:wordWrap/>
        <w:overflowPunct/>
        <w:topLinePunct w:val="0"/>
        <w:autoSpaceDE/>
        <w:autoSpaceDN/>
        <w:bidi w:val="0"/>
        <w:adjustRightInd/>
        <w:snapToGrid/>
        <w:spacing w:line="560" w:lineRule="exact"/>
        <w:ind w:firstLine="960" w:firstLineChars="300"/>
        <w:jc w:val="center"/>
        <w:textAlignment w:val="auto"/>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lang w:val="en-US" w:eastAsia="zh-CN"/>
        </w:rPr>
        <w:t xml:space="preserve">    </w:t>
      </w:r>
      <w:r>
        <w:rPr>
          <w:rFonts w:hint="eastAsia" w:ascii="仿宋_GB2312" w:hAnsi="仿宋_GB2312" w:eastAsia="仿宋_GB2312" w:cs="仿宋_GB2312"/>
          <w:color w:val="auto"/>
          <w:kern w:val="0"/>
          <w:sz w:val="32"/>
          <w:szCs w:val="32"/>
          <w:shd w:val="clear" w:color="auto" w:fill="FFFFFF"/>
        </w:rPr>
        <w:t>2022年1</w:t>
      </w:r>
      <w:r>
        <w:rPr>
          <w:rFonts w:hint="eastAsia" w:ascii="仿宋_GB2312" w:hAnsi="仿宋_GB2312" w:eastAsia="仿宋_GB2312" w:cs="仿宋_GB2312"/>
          <w:color w:val="auto"/>
          <w:kern w:val="0"/>
          <w:sz w:val="32"/>
          <w:szCs w:val="32"/>
          <w:shd w:val="clear" w:color="auto" w:fill="FFFFFF"/>
          <w:lang w:val="en-US" w:eastAsia="zh-CN"/>
        </w:rPr>
        <w:t>1</w:t>
      </w:r>
      <w:r>
        <w:rPr>
          <w:rFonts w:hint="eastAsia" w:ascii="仿宋_GB2312" w:hAnsi="仿宋_GB2312" w:eastAsia="仿宋_GB2312" w:cs="仿宋_GB2312"/>
          <w:color w:val="auto"/>
          <w:kern w:val="0"/>
          <w:sz w:val="32"/>
          <w:szCs w:val="32"/>
          <w:shd w:val="clear" w:color="auto" w:fill="FFFFFF"/>
        </w:rPr>
        <w:t>月</w:t>
      </w:r>
      <w:r>
        <w:rPr>
          <w:rFonts w:hint="eastAsia" w:ascii="仿宋_GB2312" w:hAnsi="仿宋_GB2312" w:eastAsia="仿宋_GB2312" w:cs="仿宋_GB2312"/>
          <w:color w:val="auto"/>
          <w:kern w:val="0"/>
          <w:sz w:val="32"/>
          <w:szCs w:val="32"/>
          <w:shd w:val="clear" w:color="auto" w:fill="FFFFFF"/>
          <w:lang w:val="en-US" w:eastAsia="zh-CN"/>
        </w:rPr>
        <w:t>25</w:t>
      </w:r>
      <w:r>
        <w:rPr>
          <w:rFonts w:hint="eastAsia" w:ascii="仿宋_GB2312" w:hAnsi="仿宋_GB2312" w:eastAsia="仿宋_GB2312" w:cs="仿宋_GB2312"/>
          <w:color w:val="auto"/>
          <w:kern w:val="0"/>
          <w:sz w:val="32"/>
          <w:szCs w:val="32"/>
          <w:shd w:val="clear" w:color="auto" w:fill="FFFFFF"/>
        </w:rPr>
        <w:t>日</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 w:hAnsi="仿宋" w:eastAsia="仿宋" w:cs="仿宋"/>
          <w:color w:val="424242"/>
          <w:kern w:val="0"/>
          <w:sz w:val="32"/>
          <w:szCs w:val="32"/>
          <w:shd w:val="clear" w:color="auto" w:fill="FFFFFF"/>
          <w:lang w:eastAsia="zh-CN"/>
        </w:rPr>
      </w:pP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 w:hAnsi="仿宋" w:eastAsia="仿宋" w:cs="仿宋"/>
          <w:color w:val="424242"/>
          <w:kern w:val="0"/>
          <w:sz w:val="32"/>
          <w:szCs w:val="32"/>
          <w:shd w:val="clear" w:color="auto" w:fill="FFFFFF"/>
          <w:lang w:eastAsia="zh-CN"/>
        </w:rPr>
      </w:pP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 w:hAnsi="仿宋" w:eastAsia="仿宋" w:cs="仿宋"/>
          <w:color w:val="424242"/>
          <w:kern w:val="0"/>
          <w:sz w:val="32"/>
          <w:szCs w:val="32"/>
          <w:shd w:val="clear" w:color="auto" w:fill="FFFFFF"/>
          <w:lang w:eastAsia="zh-CN"/>
        </w:rPr>
      </w:pP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 w:hAnsi="仿宋" w:eastAsia="仿宋" w:cs="仿宋"/>
          <w:color w:val="424242"/>
          <w:kern w:val="0"/>
          <w:sz w:val="32"/>
          <w:szCs w:val="32"/>
          <w:shd w:val="clear" w:color="auto" w:fill="FFFFFF"/>
          <w:lang w:eastAsia="zh-CN"/>
        </w:rPr>
      </w:pP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 w:hAnsi="仿宋" w:eastAsia="仿宋" w:cs="仿宋"/>
          <w:color w:val="424242"/>
          <w:kern w:val="0"/>
          <w:sz w:val="32"/>
          <w:szCs w:val="32"/>
          <w:shd w:val="clear" w:color="auto" w:fill="FFFFFF"/>
          <w:lang w:eastAsia="zh-CN"/>
        </w:rPr>
      </w:pP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 w:hAnsi="仿宋" w:eastAsia="仿宋" w:cs="仿宋"/>
          <w:color w:val="auto"/>
          <w:kern w:val="0"/>
          <w:sz w:val="32"/>
          <w:szCs w:val="32"/>
          <w:shd w:val="clear" w:color="auto" w:fill="FFFFFF"/>
          <w:lang w:eastAsia="zh-CN"/>
        </w:rPr>
      </w:pP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 w:hAnsi="仿宋" w:eastAsia="仿宋" w:cs="仿宋"/>
          <w:color w:val="auto"/>
          <w:kern w:val="0"/>
          <w:sz w:val="32"/>
          <w:szCs w:val="32"/>
          <w:shd w:val="clear" w:color="auto" w:fill="FFFFFF"/>
          <w:lang w:eastAsia="zh-CN"/>
        </w:rPr>
      </w:pP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 w:hAnsi="仿宋" w:eastAsia="仿宋" w:cs="仿宋"/>
          <w:color w:val="auto"/>
          <w:kern w:val="0"/>
          <w:sz w:val="32"/>
          <w:szCs w:val="32"/>
          <w:shd w:val="clear" w:color="auto" w:fill="FFFFFF"/>
          <w:lang w:eastAsia="zh-CN"/>
        </w:rPr>
      </w:pP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 w:hAnsi="仿宋" w:eastAsia="仿宋" w:cs="仿宋"/>
          <w:color w:val="auto"/>
          <w:kern w:val="0"/>
          <w:sz w:val="32"/>
          <w:szCs w:val="32"/>
          <w:shd w:val="clear" w:color="auto" w:fill="FFFFFF"/>
          <w:lang w:eastAsia="zh-CN"/>
        </w:rPr>
      </w:pP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 w:hAnsi="仿宋" w:eastAsia="仿宋" w:cs="仿宋"/>
          <w:color w:val="auto"/>
          <w:kern w:val="0"/>
          <w:sz w:val="32"/>
          <w:szCs w:val="32"/>
          <w:shd w:val="clear" w:color="auto" w:fill="FFFFFF"/>
          <w:lang w:eastAsia="zh-CN"/>
        </w:rPr>
      </w:pP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 w:hAnsi="仿宋" w:eastAsia="仿宋" w:cs="仿宋"/>
          <w:color w:val="auto"/>
          <w:kern w:val="0"/>
          <w:sz w:val="32"/>
          <w:szCs w:val="32"/>
          <w:shd w:val="clear" w:color="auto" w:fill="FFFFFF"/>
          <w:lang w:eastAsia="zh-CN"/>
        </w:rPr>
      </w:pP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 w:hAnsi="仿宋" w:eastAsia="仿宋" w:cs="仿宋"/>
          <w:color w:val="auto"/>
          <w:kern w:val="0"/>
          <w:sz w:val="32"/>
          <w:szCs w:val="32"/>
          <w:shd w:val="clear" w:color="auto" w:fill="FFFFFF"/>
          <w:lang w:eastAsia="zh-CN"/>
        </w:rPr>
      </w:pP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 w:hAnsi="仿宋" w:eastAsia="仿宋" w:cs="仿宋"/>
          <w:color w:val="auto"/>
          <w:kern w:val="0"/>
          <w:sz w:val="32"/>
          <w:szCs w:val="32"/>
          <w:shd w:val="clear" w:color="auto" w:fill="FFFFFF"/>
          <w:lang w:eastAsia="zh-CN"/>
        </w:rPr>
      </w:pP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 w:hAnsi="仿宋" w:eastAsia="仿宋" w:cs="仿宋"/>
          <w:color w:val="auto"/>
          <w:kern w:val="0"/>
          <w:sz w:val="32"/>
          <w:szCs w:val="32"/>
          <w:shd w:val="clear" w:color="auto" w:fill="FFFFFF"/>
          <w:lang w:eastAsia="zh-CN"/>
        </w:rPr>
      </w:pP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 w:hAnsi="仿宋" w:eastAsia="仿宋" w:cs="仿宋"/>
          <w:color w:val="auto"/>
          <w:kern w:val="0"/>
          <w:sz w:val="32"/>
          <w:szCs w:val="32"/>
          <w:shd w:val="clear" w:color="auto" w:fill="FFFFFF"/>
          <w:lang w:eastAsia="zh-CN"/>
        </w:rPr>
      </w:pP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 w:hAnsi="仿宋" w:eastAsia="仿宋" w:cs="仿宋"/>
          <w:color w:val="auto"/>
          <w:kern w:val="0"/>
          <w:sz w:val="32"/>
          <w:szCs w:val="32"/>
          <w:shd w:val="clear" w:color="auto" w:fill="FFFFFF"/>
          <w:lang w:eastAsia="zh-CN"/>
        </w:rPr>
      </w:pP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 w:hAnsi="仿宋" w:eastAsia="仿宋" w:cs="仿宋"/>
          <w:color w:val="auto"/>
          <w:kern w:val="0"/>
          <w:sz w:val="32"/>
          <w:szCs w:val="32"/>
          <w:shd w:val="clear" w:color="auto" w:fill="FFFFFF"/>
          <w:lang w:eastAsia="zh-CN"/>
        </w:rPr>
      </w:pP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 w:hAnsi="仿宋" w:eastAsia="仿宋" w:cs="仿宋"/>
          <w:color w:val="auto"/>
          <w:kern w:val="0"/>
          <w:sz w:val="32"/>
          <w:szCs w:val="32"/>
          <w:shd w:val="clear" w:color="auto" w:fill="FFFFFF"/>
          <w:lang w:eastAsia="zh-CN"/>
        </w:rPr>
      </w:pP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 w:hAnsi="仿宋" w:eastAsia="仿宋" w:cs="仿宋"/>
          <w:color w:val="auto"/>
          <w:kern w:val="0"/>
          <w:sz w:val="32"/>
          <w:szCs w:val="32"/>
          <w:shd w:val="clear" w:color="auto" w:fill="FFFFFF"/>
          <w:lang w:eastAsia="zh-CN"/>
        </w:rPr>
      </w:pP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 w:hAnsi="仿宋" w:eastAsia="仿宋" w:cs="仿宋"/>
          <w:color w:val="auto"/>
          <w:kern w:val="0"/>
          <w:sz w:val="32"/>
          <w:szCs w:val="32"/>
          <w:shd w:val="clear" w:color="auto" w:fill="FFFFFF"/>
          <w:lang w:eastAsia="zh-CN"/>
        </w:rPr>
      </w:pP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 w:hAnsi="仿宋" w:eastAsia="仿宋" w:cs="仿宋"/>
          <w:color w:val="auto"/>
          <w:kern w:val="0"/>
          <w:sz w:val="32"/>
          <w:szCs w:val="32"/>
          <w:shd w:val="clear" w:color="auto" w:fill="FFFFFF"/>
          <w:lang w:eastAsia="zh-CN"/>
        </w:rPr>
      </w:pP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 w:hAnsi="仿宋" w:eastAsia="仿宋" w:cs="仿宋"/>
          <w:color w:val="auto"/>
          <w:kern w:val="0"/>
          <w:sz w:val="32"/>
          <w:szCs w:val="32"/>
          <w:shd w:val="clear" w:color="auto" w:fill="FFFFFF"/>
          <w:lang w:eastAsia="zh-CN"/>
        </w:rPr>
      </w:pP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 w:hAnsi="仿宋" w:eastAsia="仿宋" w:cs="仿宋"/>
          <w:color w:val="auto"/>
          <w:kern w:val="0"/>
          <w:sz w:val="32"/>
          <w:szCs w:val="32"/>
          <w:shd w:val="clear" w:color="auto" w:fill="FFFFFF"/>
          <w:lang w:eastAsia="zh-CN"/>
        </w:rPr>
      </w:pP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 w:hAnsi="仿宋" w:eastAsia="仿宋" w:cs="仿宋"/>
          <w:color w:val="auto"/>
          <w:kern w:val="0"/>
          <w:sz w:val="32"/>
          <w:szCs w:val="32"/>
          <w:shd w:val="clear" w:color="auto" w:fill="FFFFFF"/>
          <w:lang w:eastAsia="zh-CN"/>
        </w:rPr>
      </w:pP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 w:hAnsi="仿宋" w:eastAsia="仿宋" w:cs="仿宋"/>
          <w:color w:val="auto"/>
          <w:kern w:val="0"/>
          <w:sz w:val="32"/>
          <w:szCs w:val="32"/>
          <w:shd w:val="clear" w:color="auto" w:fill="FFFFFF"/>
          <w:lang w:eastAsia="zh-CN"/>
        </w:rPr>
      </w:pP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 w:hAnsi="仿宋" w:eastAsia="仿宋" w:cs="仿宋"/>
          <w:color w:val="auto"/>
          <w:kern w:val="0"/>
          <w:sz w:val="32"/>
          <w:szCs w:val="32"/>
          <w:shd w:val="clear" w:color="auto" w:fill="FFFFFF"/>
          <w:lang w:eastAsia="zh-CN"/>
        </w:rPr>
      </w:pP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 w:hAnsi="仿宋" w:eastAsia="仿宋" w:cs="仿宋"/>
          <w:color w:val="auto"/>
          <w:kern w:val="0"/>
          <w:sz w:val="32"/>
          <w:szCs w:val="32"/>
          <w:shd w:val="clear" w:color="auto" w:fill="FFFFFF"/>
          <w:lang w:eastAsia="zh-CN"/>
        </w:rPr>
      </w:pP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 w:hAnsi="仿宋" w:eastAsia="仿宋" w:cs="仿宋"/>
          <w:color w:val="auto"/>
          <w:kern w:val="0"/>
          <w:sz w:val="32"/>
          <w:szCs w:val="32"/>
          <w:shd w:val="clear" w:color="auto" w:fill="FFFFFF"/>
          <w:lang w:eastAsia="zh-CN"/>
        </w:rPr>
      </w:pP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 w:hAnsi="仿宋" w:eastAsia="仿宋" w:cs="仿宋"/>
          <w:color w:val="auto"/>
          <w:kern w:val="0"/>
          <w:sz w:val="32"/>
          <w:szCs w:val="32"/>
          <w:shd w:val="clear" w:color="auto" w:fill="FFFFFF"/>
          <w:lang w:eastAsia="zh-CN"/>
        </w:rPr>
      </w:pP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 w:hAnsi="仿宋" w:eastAsia="仿宋" w:cs="仿宋"/>
          <w:color w:val="auto"/>
          <w:kern w:val="0"/>
          <w:sz w:val="32"/>
          <w:szCs w:val="32"/>
          <w:shd w:val="clear" w:color="auto" w:fill="FFFFFF"/>
          <w:lang w:eastAsia="zh-CN"/>
        </w:rPr>
      </w:pP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 w:hAnsi="仿宋" w:eastAsia="仿宋" w:cs="仿宋"/>
          <w:color w:val="auto"/>
          <w:kern w:val="0"/>
          <w:sz w:val="32"/>
          <w:szCs w:val="32"/>
          <w:shd w:val="clear" w:color="auto" w:fill="FFFFFF"/>
          <w:lang w:eastAsia="zh-CN"/>
        </w:rPr>
      </w:pPr>
      <w:r>
        <w:rPr>
          <w:rFonts w:hint="eastAsia" w:ascii="黑体" w:hAnsi="黑体" w:eastAsia="黑体" w:cs="黑体"/>
          <w:b/>
          <w:bCs/>
          <w:color w:val="auto"/>
          <w:kern w:val="0"/>
          <w:sz w:val="32"/>
          <w:szCs w:val="32"/>
          <w:shd w:val="clear" w:color="auto" w:fill="FFFFFF"/>
          <w:lang w:eastAsia="zh-CN"/>
        </w:rPr>
        <w:t>公开方式：</w:t>
      </w:r>
      <w:r>
        <w:rPr>
          <w:rFonts w:hint="eastAsia" w:ascii="黑体" w:hAnsi="黑体" w:eastAsia="黑体" w:cs="黑体"/>
          <w:color w:val="auto"/>
          <w:kern w:val="0"/>
          <w:sz w:val="32"/>
          <w:szCs w:val="32"/>
          <w:shd w:val="clear" w:color="auto" w:fill="FFFFFF"/>
          <w:lang w:eastAsia="zh-CN"/>
        </w:rPr>
        <w:t>主动公开</w:t>
      </w:r>
      <w:bookmarkStart w:id="0" w:name="_GoBack"/>
      <w:bookmarkEnd w:id="0"/>
    </w:p>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仿宋" w:hAnsi="仿宋" w:eastAsia="仿宋" w:cs="仿宋"/>
          <w:color w:val="auto"/>
          <w:kern w:val="0"/>
          <w:sz w:val="32"/>
          <w:szCs w:val="32"/>
          <w:u w:val="thick"/>
          <w:shd w:val="clear" w:color="auto" w:fill="FFFFFF"/>
          <w:lang w:val="en-US" w:eastAsia="zh-CN"/>
        </w:rPr>
      </w:pPr>
      <w:r>
        <w:rPr>
          <w:rFonts w:hint="eastAsia" w:ascii="仿宋" w:hAnsi="仿宋" w:eastAsia="仿宋" w:cs="仿宋"/>
          <w:color w:val="auto"/>
          <w:kern w:val="0"/>
          <w:sz w:val="32"/>
          <w:szCs w:val="32"/>
          <w:u w:val="thick"/>
          <w:shd w:val="clear" w:color="auto" w:fill="FFFFFF"/>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仿宋" w:hAnsi="仿宋" w:eastAsia="仿宋" w:cs="仿宋"/>
          <w:color w:val="0000FF"/>
          <w:kern w:val="0"/>
          <w:sz w:val="32"/>
          <w:szCs w:val="32"/>
          <w:u w:val="thick"/>
          <w:shd w:val="clear" w:color="auto" w:fill="FFFFFF"/>
          <w:lang w:val="en-US" w:eastAsia="zh-CN"/>
        </w:rPr>
      </w:pPr>
      <w:r>
        <w:rPr>
          <w:rFonts w:hint="eastAsia" w:ascii="仿宋" w:hAnsi="仿宋" w:eastAsia="仿宋" w:cs="仿宋"/>
          <w:color w:val="auto"/>
          <w:kern w:val="0"/>
          <w:sz w:val="32"/>
          <w:szCs w:val="32"/>
          <w:u w:val="thick"/>
          <w:shd w:val="clear" w:color="auto" w:fill="FFFFFF"/>
          <w:lang w:val="en-US" w:eastAsia="zh-CN"/>
        </w:rPr>
        <w:t xml:space="preserve">陆川县大数据发展和政务服务局    2022年11月25日印发                                                    </w:t>
      </w:r>
      <w:r>
        <w:rPr>
          <w:rFonts w:hint="eastAsia" w:ascii="仿宋" w:hAnsi="仿宋" w:eastAsia="仿宋" w:cs="仿宋"/>
          <w:color w:val="0000FF"/>
          <w:kern w:val="0"/>
          <w:sz w:val="32"/>
          <w:szCs w:val="32"/>
          <w:u w:val="thick"/>
          <w:shd w:val="clear" w:color="auto" w:fill="FFFFFF"/>
          <w:lang w:val="en-US" w:eastAsia="zh-CN"/>
        </w:rPr>
        <w:t xml:space="preserve">       </w:t>
      </w:r>
    </w:p>
    <w:sectPr>
      <w:footerReference r:id="rId3" w:type="default"/>
      <w:pgSz w:w="11906" w:h="16838"/>
      <w:pgMar w:top="2098" w:right="1474" w:bottom="1984"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altName w:val="黑体"/>
    <w:panose1 w:val="03000509000000000000"/>
    <w:charset w:val="86"/>
    <w:family w:val="script"/>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3073" o:spid="_x0000_s3073"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283CB4"/>
    <w:rsid w:val="000167EB"/>
    <w:rsid w:val="00021F49"/>
    <w:rsid w:val="00051ECA"/>
    <w:rsid w:val="00104F3E"/>
    <w:rsid w:val="001C5C21"/>
    <w:rsid w:val="00251671"/>
    <w:rsid w:val="00283CB4"/>
    <w:rsid w:val="003031F4"/>
    <w:rsid w:val="00336661"/>
    <w:rsid w:val="003609F4"/>
    <w:rsid w:val="00447EBD"/>
    <w:rsid w:val="004568F2"/>
    <w:rsid w:val="00463090"/>
    <w:rsid w:val="004D7803"/>
    <w:rsid w:val="00541A2B"/>
    <w:rsid w:val="00551BC1"/>
    <w:rsid w:val="00556C18"/>
    <w:rsid w:val="005C7849"/>
    <w:rsid w:val="00626D2F"/>
    <w:rsid w:val="006F5F1B"/>
    <w:rsid w:val="00786C0D"/>
    <w:rsid w:val="008302AC"/>
    <w:rsid w:val="00832528"/>
    <w:rsid w:val="0083335C"/>
    <w:rsid w:val="008A358F"/>
    <w:rsid w:val="0099196C"/>
    <w:rsid w:val="009F76DE"/>
    <w:rsid w:val="00A65209"/>
    <w:rsid w:val="00A86A43"/>
    <w:rsid w:val="00B942DF"/>
    <w:rsid w:val="00BE0BAD"/>
    <w:rsid w:val="00BF474D"/>
    <w:rsid w:val="00C062FB"/>
    <w:rsid w:val="00C17F32"/>
    <w:rsid w:val="00C561F1"/>
    <w:rsid w:val="00C74F5E"/>
    <w:rsid w:val="00D44CFD"/>
    <w:rsid w:val="00D8747A"/>
    <w:rsid w:val="00E1777D"/>
    <w:rsid w:val="00E45905"/>
    <w:rsid w:val="00F278AF"/>
    <w:rsid w:val="00F7100B"/>
    <w:rsid w:val="00F93EFE"/>
    <w:rsid w:val="03726D6C"/>
    <w:rsid w:val="07000CCC"/>
    <w:rsid w:val="08AD1FC6"/>
    <w:rsid w:val="08D94FE4"/>
    <w:rsid w:val="09182E5D"/>
    <w:rsid w:val="11097ACF"/>
    <w:rsid w:val="23714DBD"/>
    <w:rsid w:val="2DA12F9C"/>
    <w:rsid w:val="2E1570DA"/>
    <w:rsid w:val="326167A5"/>
    <w:rsid w:val="449C0C65"/>
    <w:rsid w:val="45D2604F"/>
    <w:rsid w:val="4A3B4DC0"/>
    <w:rsid w:val="4AD05529"/>
    <w:rsid w:val="4D96019F"/>
    <w:rsid w:val="55C962BF"/>
    <w:rsid w:val="69B21F2F"/>
    <w:rsid w:val="69BF38ED"/>
    <w:rsid w:val="6EB52036"/>
    <w:rsid w:val="742D79B3"/>
    <w:rsid w:val="76846D1C"/>
    <w:rsid w:val="7C0315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jc w:val="left"/>
      <w:outlineLvl w:val="0"/>
    </w:pPr>
    <w:rPr>
      <w:rFonts w:hint="eastAsia" w:ascii="宋体" w:hAnsi="宋体" w:eastAsia="宋体" w:cs="Times New Roman"/>
      <w:kern w:val="44"/>
      <w:sz w:val="2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21"/>
    <w:qFormat/>
    <w:uiPriority w:val="0"/>
    <w:pPr>
      <w:tabs>
        <w:tab w:val="center" w:pos="4153"/>
        <w:tab w:val="right" w:pos="8306"/>
      </w:tabs>
      <w:snapToGrid w:val="0"/>
      <w:jc w:val="left"/>
    </w:pPr>
    <w:rPr>
      <w:sz w:val="18"/>
      <w:szCs w:val="18"/>
    </w:rPr>
  </w:style>
  <w:style w:type="paragraph" w:styleId="4">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jc w:val="left"/>
    </w:pPr>
    <w:rPr>
      <w:rFonts w:cs="Times New Roman"/>
      <w:kern w:val="0"/>
      <w:sz w:val="24"/>
    </w:rPr>
  </w:style>
  <w:style w:type="character" w:styleId="8">
    <w:name w:val="FollowedHyperlink"/>
    <w:basedOn w:val="7"/>
    <w:qFormat/>
    <w:uiPriority w:val="0"/>
    <w:rPr>
      <w:color w:val="800080"/>
      <w:u w:val="none"/>
    </w:rPr>
  </w:style>
  <w:style w:type="character" w:styleId="9">
    <w:name w:val="HTML Definition"/>
    <w:basedOn w:val="7"/>
    <w:qFormat/>
    <w:uiPriority w:val="0"/>
  </w:style>
  <w:style w:type="character" w:styleId="10">
    <w:name w:val="HTML Typewriter"/>
    <w:basedOn w:val="7"/>
    <w:qFormat/>
    <w:uiPriority w:val="0"/>
    <w:rPr>
      <w:rFonts w:hint="default" w:ascii="monospace" w:hAnsi="monospace" w:eastAsia="monospace" w:cs="monospace"/>
      <w:sz w:val="20"/>
    </w:rPr>
  </w:style>
  <w:style w:type="character" w:styleId="11">
    <w:name w:val="HTML Acronym"/>
    <w:basedOn w:val="7"/>
    <w:qFormat/>
    <w:uiPriority w:val="0"/>
  </w:style>
  <w:style w:type="character" w:styleId="12">
    <w:name w:val="HTML Variable"/>
    <w:basedOn w:val="7"/>
    <w:qFormat/>
    <w:uiPriority w:val="0"/>
    <w:rPr>
      <w:color w:val="333333"/>
      <w:sz w:val="21"/>
      <w:szCs w:val="21"/>
      <w:shd w:val="clear" w:color="auto" w:fill="F8F8F8"/>
    </w:rPr>
  </w:style>
  <w:style w:type="character" w:styleId="13">
    <w:name w:val="Hyperlink"/>
    <w:basedOn w:val="7"/>
    <w:qFormat/>
    <w:uiPriority w:val="0"/>
    <w:rPr>
      <w:color w:val="0000FF"/>
      <w:u w:val="none"/>
    </w:rPr>
  </w:style>
  <w:style w:type="character" w:styleId="14">
    <w:name w:val="HTML Code"/>
    <w:basedOn w:val="7"/>
    <w:qFormat/>
    <w:uiPriority w:val="0"/>
    <w:rPr>
      <w:rFonts w:hint="default" w:ascii="monospace" w:hAnsi="monospace" w:eastAsia="monospace" w:cs="monospace"/>
      <w:sz w:val="20"/>
    </w:rPr>
  </w:style>
  <w:style w:type="character" w:styleId="15">
    <w:name w:val="HTML Cite"/>
    <w:basedOn w:val="7"/>
    <w:qFormat/>
    <w:uiPriority w:val="0"/>
  </w:style>
  <w:style w:type="character" w:styleId="16">
    <w:name w:val="HTML Keyboard"/>
    <w:basedOn w:val="7"/>
    <w:qFormat/>
    <w:uiPriority w:val="0"/>
    <w:rPr>
      <w:rFonts w:hint="default" w:ascii="monospace" w:hAnsi="monospace" w:eastAsia="monospace" w:cs="monospace"/>
      <w:sz w:val="20"/>
    </w:rPr>
  </w:style>
  <w:style w:type="character" w:styleId="17">
    <w:name w:val="HTML Sample"/>
    <w:basedOn w:val="7"/>
    <w:qFormat/>
    <w:uiPriority w:val="0"/>
    <w:rPr>
      <w:rFonts w:ascii="monospace" w:hAnsi="monospace" w:eastAsia="monospace" w:cs="monospace"/>
      <w:shd w:val="clear" w:color="auto" w:fill="095BB8"/>
    </w:rPr>
  </w:style>
  <w:style w:type="character" w:customStyle="1" w:styleId="18">
    <w:name w:val="layui-layer-tabnow"/>
    <w:basedOn w:val="7"/>
    <w:qFormat/>
    <w:uiPriority w:val="0"/>
    <w:rPr>
      <w:bdr w:val="single" w:color="CCCCCC" w:sz="6" w:space="0"/>
      <w:shd w:val="clear" w:color="auto" w:fill="FFFFFF"/>
    </w:rPr>
  </w:style>
  <w:style w:type="character" w:customStyle="1" w:styleId="19">
    <w:name w:val="first-child"/>
    <w:basedOn w:val="7"/>
    <w:qFormat/>
    <w:uiPriority w:val="0"/>
  </w:style>
  <w:style w:type="character" w:customStyle="1" w:styleId="20">
    <w:name w:val="页眉 Char"/>
    <w:basedOn w:val="7"/>
    <w:link w:val="4"/>
    <w:qFormat/>
    <w:uiPriority w:val="0"/>
    <w:rPr>
      <w:rFonts w:asciiTheme="minorHAnsi" w:hAnsiTheme="minorHAnsi" w:eastAsiaTheme="minorEastAsia" w:cstheme="minorBidi"/>
      <w:kern w:val="2"/>
      <w:sz w:val="18"/>
      <w:szCs w:val="18"/>
    </w:rPr>
  </w:style>
  <w:style w:type="character" w:customStyle="1" w:styleId="21">
    <w:name w:val="页脚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Info spid="_x0000_s2054"/>
    <customShpInfo spid="_x0000_s2055"/>
    <customShpInfo spid="_x0000_s205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169</Words>
  <Characters>967</Characters>
  <Lines>8</Lines>
  <Paragraphs>2</Paragraphs>
  <TotalTime>0</TotalTime>
  <ScaleCrop>false</ScaleCrop>
  <LinksUpToDate>false</LinksUpToDate>
  <CharactersWithSpaces>1134</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2022-11-16T04:06:00Z</dcterms:created>
  <dc:creator>cl</dc:creator>
  <cp:lastModifiedBy>Administrator</cp:lastModifiedBy>
  <cp:lastPrinted>2022-11-22T01:38:00Z</cp:lastPrinted>
  <dcterms:modified xsi:type="dcterms:W3CDTF">2022-12-30T01:19:55Z</dcterms:modified>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59DA436DEA4A48A7AE9C47DDA99C2102</vt:lpwstr>
  </property>
</Properties>
</file>