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bookmarkStart w:id="0" w:name="_Toc30389"/>
      <w:bookmarkStart w:id="1" w:name="_Toc26977"/>
      <w:bookmarkStart w:id="2" w:name="_Toc5971"/>
      <w:bookmarkStart w:id="3" w:name="_Toc7080"/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广西壮族自治区公共资源交易平台系统权益类交易子系统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（</w:t>
      </w:r>
      <w:r>
        <w:rPr>
          <w:rFonts w:hint="eastAsia" w:ascii="宋体" w:hAnsi="宋体" w:eastAsia="宋体" w:cs="宋体"/>
          <w:b/>
          <w:sz w:val="48"/>
          <w:szCs w:val="48"/>
          <w:lang w:val="en-US" w:eastAsia="zh-CN"/>
        </w:rPr>
        <w:t>海域权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）</w:t>
      </w:r>
      <w:bookmarkEnd w:id="0"/>
      <w:bookmarkEnd w:id="1"/>
      <w:bookmarkEnd w:id="2"/>
      <w:bookmarkEnd w:id="3"/>
    </w:p>
    <w:p>
      <w:pPr>
        <w:spacing w:line="360" w:lineRule="auto"/>
        <w:jc w:val="center"/>
        <w:outlineLvl w:val="0"/>
        <w:rPr>
          <w:rFonts w:ascii="宋体" w:hAnsi="宋体" w:eastAsia="宋体" w:cs="宋体"/>
          <w:b/>
          <w:sz w:val="48"/>
          <w:szCs w:val="48"/>
        </w:rPr>
      </w:pPr>
      <w:bookmarkStart w:id="4" w:name="_Toc5877"/>
      <w:bookmarkStart w:id="5" w:name="_Toc14958"/>
      <w:bookmarkStart w:id="6" w:name="_Toc12640"/>
      <w:bookmarkStart w:id="7" w:name="_Toc17225"/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权益类交易机构</w:t>
      </w:r>
      <w:r>
        <w:rPr>
          <w:rFonts w:hint="eastAsia" w:ascii="宋体" w:hAnsi="宋体" w:eastAsia="宋体" w:cs="宋体"/>
          <w:b/>
          <w:sz w:val="48"/>
          <w:szCs w:val="48"/>
        </w:rPr>
        <w:t>用户手册</w:t>
      </w:r>
      <w:bookmarkEnd w:id="4"/>
      <w:bookmarkEnd w:id="5"/>
      <w:bookmarkEnd w:id="6"/>
      <w:bookmarkEnd w:id="7"/>
    </w:p>
    <w:p>
      <w:pPr>
        <w:rPr>
          <w:rFonts w:hint="eastAsia" w:ascii="宋体" w:hAnsi="宋体" w:eastAsia="宋体" w:cs="宋体"/>
          <w:b/>
          <w:sz w:val="48"/>
          <w:szCs w:val="4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z w:val="48"/>
          <w:szCs w:val="48"/>
        </w:rPr>
        <w:br w:type="page"/>
      </w: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69348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"1-2"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_Toc2726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一. </w:t>
          </w:r>
          <w:r>
            <w:rPr>
              <w:rFonts w:hint="eastAsia"/>
              <w:lang w:val="en-US" w:eastAsia="zh-CN"/>
            </w:rPr>
            <w:t>权益类交易机构准备工作</w:t>
          </w:r>
          <w:r>
            <w:tab/>
          </w:r>
          <w:r>
            <w:fldChar w:fldCharType="begin"/>
          </w:r>
          <w:r>
            <w:instrText xml:space="preserve"> PAGEREF _Toc2726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_Toc19269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1. </w:t>
          </w:r>
          <w:r>
            <w:rPr>
              <w:rFonts w:hint="eastAsia"/>
              <w:lang w:val="en-US" w:eastAsia="zh-CN"/>
            </w:rPr>
            <w:t>驱动安装及浏览器设置</w:t>
          </w:r>
          <w:r>
            <w:tab/>
          </w:r>
          <w:r>
            <w:fldChar w:fldCharType="begin"/>
          </w:r>
          <w:r>
            <w:instrText xml:space="preserve"> PAGEREF _Toc19269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_Toc4609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2. </w:t>
          </w:r>
          <w:r>
            <w:rPr>
              <w:rFonts w:hint="eastAsia"/>
            </w:rPr>
            <w:t>系统</w:t>
          </w:r>
          <w:r>
            <w:rPr>
              <w:rFonts w:hint="eastAsia"/>
              <w:lang w:val="en-US" w:eastAsia="zh-CN"/>
            </w:rPr>
            <w:t>注册、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_Toc4609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_Toc29810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3. </w:t>
          </w:r>
          <w:r>
            <w:rPr>
              <w:rFonts w:hint="eastAsia"/>
              <w:bCs/>
              <w:lang w:val="en-US" w:eastAsia="zh-CN"/>
            </w:rPr>
            <w:t>完善主体信息</w:t>
          </w:r>
          <w:r>
            <w:tab/>
          </w:r>
          <w:r>
            <w:fldChar w:fldCharType="begin"/>
          </w:r>
          <w:r>
            <w:instrText xml:space="preserve"> PAGEREF _Toc29810 \h </w:instrText>
          </w:r>
          <w:r>
            <w:fldChar w:fldCharType="separate"/>
          </w:r>
          <w:r>
            <w:t>18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_Toc30691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bCs/>
              <w:lang w:val="en-US" w:eastAsia="zh-CN"/>
            </w:rPr>
            <w:t xml:space="preserve">4. </w:t>
          </w:r>
          <w:r>
            <w:rPr>
              <w:rFonts w:hint="eastAsia"/>
              <w:bCs/>
              <w:lang w:val="en-US" w:eastAsia="zh-CN"/>
            </w:rPr>
            <w:t>CA锁办理和激活</w:t>
          </w:r>
          <w:r>
            <w:tab/>
          </w:r>
          <w:r>
            <w:fldChar w:fldCharType="begin"/>
          </w:r>
          <w:r>
            <w:instrText xml:space="preserve"> PAGEREF _Toc30691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_Toc16691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二. </w:t>
          </w:r>
          <w:r>
            <w:rPr>
              <w:rFonts w:hint="eastAsia"/>
              <w:lang w:val="en-US" w:eastAsia="zh-CN"/>
            </w:rPr>
            <w:t>权益类交易机构操作</w:t>
          </w:r>
          <w:r>
            <w:tab/>
          </w:r>
          <w:r>
            <w:fldChar w:fldCharType="begin"/>
          </w:r>
          <w:r>
            <w:instrText xml:space="preserve"> PAGEREF _Toc16691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_Toc11913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1. 项目登记</w:t>
          </w:r>
          <w:r>
            <w:tab/>
          </w:r>
          <w:r>
            <w:fldChar w:fldCharType="begin"/>
          </w:r>
          <w:r>
            <w:instrText xml:space="preserve"> PAGEREF _Toc11913 \h </w:instrText>
          </w:r>
          <w:r>
            <w:fldChar w:fldCharType="separate"/>
          </w:r>
          <w:r>
            <w:t>22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_Toc32293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2. 交易公告</w:t>
          </w:r>
          <w:r>
            <w:tab/>
          </w:r>
          <w:r>
            <w:fldChar w:fldCharType="begin"/>
          </w:r>
          <w:r>
            <w:instrText xml:space="preserve"> PAGEREF _Toc32293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_Toc11817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3. 变更公告</w:t>
          </w:r>
          <w:r>
            <w:tab/>
          </w:r>
          <w:r>
            <w:fldChar w:fldCharType="begin"/>
          </w:r>
          <w:r>
            <w:instrText xml:space="preserve"> PAGEREF _Toc11817 \h </w:instrText>
          </w:r>
          <w:r>
            <w:fldChar w:fldCharType="separate"/>
          </w:r>
          <w:r>
            <w:t>24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_Toc20614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4. 竞买须知</w:t>
          </w:r>
          <w:r>
            <w:tab/>
          </w:r>
          <w:r>
            <w:fldChar w:fldCharType="begin"/>
          </w:r>
          <w:r>
            <w:instrText xml:space="preserve"> PAGEREF _Toc20614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_Toc25950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5. 文件发布</w:t>
          </w:r>
          <w:r>
            <w:tab/>
          </w:r>
          <w:r>
            <w:fldChar w:fldCharType="begin"/>
          </w:r>
          <w:r>
            <w:instrText xml:space="preserve"> PAGEREF _Toc25950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_Toc14715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6. 资格审查</w:t>
          </w:r>
          <w:r>
            <w:tab/>
          </w:r>
          <w:r>
            <w:fldChar w:fldCharType="begin"/>
          </w:r>
          <w:r>
            <w:instrText xml:space="preserve"> PAGEREF _Toc14715 \h </w:instrText>
          </w:r>
          <w:r>
            <w:fldChar w:fldCharType="separate"/>
          </w:r>
          <w:r>
            <w:t>26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_Toc12778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7. 资格确认</w:t>
          </w:r>
          <w:r>
            <w:tab/>
          </w:r>
          <w:r>
            <w:fldChar w:fldCharType="begin"/>
          </w:r>
          <w:r>
            <w:instrText xml:space="preserve"> PAGEREF _Toc12778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_Toc9274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8. 设定竞价规则</w:t>
          </w:r>
          <w:r>
            <w:tab/>
          </w:r>
          <w:r>
            <w:fldChar w:fldCharType="begin"/>
          </w:r>
          <w:r>
            <w:instrText xml:space="preserve"> PAGEREF _Toc9274 \h </w:instrText>
          </w:r>
          <w:r>
            <w:fldChar w:fldCharType="separate"/>
          </w:r>
          <w:r>
            <w:t>28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_Toc19616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9. 底价设置</w:t>
          </w:r>
          <w:r>
            <w:tab/>
          </w:r>
          <w:r>
            <w:fldChar w:fldCharType="begin"/>
          </w:r>
          <w:r>
            <w:instrText xml:space="preserve"> PAGEREF _Toc19616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_Toc24290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10. 竞价控制</w:t>
          </w:r>
          <w:r>
            <w:tab/>
          </w:r>
          <w:r>
            <w:fldChar w:fldCharType="begin"/>
          </w:r>
          <w:r>
            <w:instrText xml:space="preserve"> PAGEREF _Toc24290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_Toc10603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11. 成交确认书</w:t>
          </w:r>
          <w:r>
            <w:tab/>
          </w:r>
          <w:r>
            <w:fldChar w:fldCharType="begin"/>
          </w:r>
          <w:r>
            <w:instrText xml:space="preserve"> PAGEREF _Toc10603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_Toc6865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12. 结果公示</w:t>
          </w:r>
          <w:r>
            <w:tab/>
          </w:r>
          <w:r>
            <w:fldChar w:fldCharType="begin"/>
          </w:r>
          <w:r>
            <w:instrText xml:space="preserve"> PAGEREF _Toc6865 \h </w:instrText>
          </w:r>
          <w:r>
            <w:fldChar w:fldCharType="separate"/>
          </w:r>
          <w:r>
            <w:t>30</w:t>
          </w:r>
          <w:r>
            <w:fldChar w:fldCharType="end"/>
          </w:r>
          <w: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_Toc5331 </w:instrText>
          </w:r>
          <w:r>
            <w:fldChar w:fldCharType="separate"/>
          </w:r>
          <w:r>
            <w:rPr>
              <w:rFonts w:hint="eastAsia" w:ascii="宋体" w:hAnsi="宋体" w:eastAsia="宋体" w:cs="宋体"/>
              <w:szCs w:val="21"/>
            </w:rPr>
            <w:t>13. 成交通知书</w:t>
          </w:r>
          <w:r>
            <w:tab/>
          </w:r>
          <w:r>
            <w:fldChar w:fldCharType="begin"/>
          </w:r>
          <w:r>
            <w:instrText xml:space="preserve"> PAGEREF _Toc5331 \h </w:instrText>
          </w:r>
          <w:r>
            <w:fldChar w:fldCharType="separate"/>
          </w:r>
          <w:r>
            <w:t>31</w:t>
          </w:r>
          <w:r>
            <w:fldChar w:fldCharType="end"/>
          </w:r>
          <w:r>
            <w:fldChar w:fldCharType="end"/>
          </w:r>
        </w:p>
        <w:p>
          <w:pPr>
            <w:pStyle w:val="19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_Toc14494 </w:instrText>
          </w:r>
          <w: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三. </w:t>
          </w:r>
          <w:r>
            <w:rPr>
              <w:rFonts w:hint="eastAsia"/>
              <w:lang w:val="en-US" w:eastAsia="zh-CN"/>
            </w:rPr>
            <w:t>常见问题解答</w:t>
          </w:r>
          <w:r>
            <w:tab/>
          </w:r>
          <w:r>
            <w:fldChar w:fldCharType="begin"/>
          </w:r>
          <w:r>
            <w:instrText xml:space="preserve"> PAGEREF _Toc14494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</w:pPr>
          <w:r>
            <w:fldChar w:fldCharType="end"/>
          </w:r>
        </w:p>
      </w:sdtContent>
    </w:sdt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  <w:bookmarkStart w:id="8" w:name="_Toc26389"/>
      <w:bookmarkStart w:id="9" w:name="_Toc30401"/>
      <w:bookmarkStart w:id="10" w:name="_Toc1068"/>
    </w:p>
    <w:p>
      <w:pPr>
        <w:pStyle w:val="3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11" w:name="_Toc2726"/>
      <w:r>
        <w:rPr>
          <w:rFonts w:hint="eastAsia"/>
          <w:lang w:val="en-US" w:eastAsia="zh-CN"/>
        </w:rPr>
        <w:t>权益类交易机构准备工作</w:t>
      </w:r>
      <w:bookmarkEnd w:id="11"/>
    </w:p>
    <w:p>
      <w:pPr>
        <w:pStyle w:val="4"/>
        <w:bidi w:val="0"/>
        <w:ind w:left="432" w:leftChars="0" w:hanging="432" w:firstLineChars="0"/>
        <w:rPr>
          <w:rFonts w:hint="default"/>
          <w:lang w:val="en-US" w:eastAsia="zh-CN"/>
        </w:rPr>
      </w:pPr>
      <w:bookmarkStart w:id="12" w:name="_Toc19269"/>
      <w:r>
        <w:rPr>
          <w:rFonts w:hint="eastAsia"/>
          <w:lang w:val="en-US" w:eastAsia="zh-CN"/>
        </w:rPr>
        <w:t>驱动安装及浏览器设置</w:t>
      </w:r>
      <w:bookmarkEnd w:id="8"/>
      <w:bookmarkEnd w:id="9"/>
      <w:bookmarkEnd w:id="12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3" w:name="_Toc31637"/>
      <w:bookmarkStart w:id="14" w:name="_Toc8681"/>
      <w:r>
        <w:rPr>
          <w:rFonts w:hint="eastAsia"/>
          <w:lang w:val="en-US" w:eastAsia="zh-CN"/>
        </w:rPr>
        <w:t>驱动</w:t>
      </w:r>
      <w:r>
        <w:t>安装</w:t>
      </w:r>
      <w:bookmarkEnd w:id="13"/>
      <w:bookmarkEnd w:id="14"/>
    </w:p>
    <w:p>
      <w:pPr>
        <w:bidi w:val="0"/>
        <w:jc w:val="left"/>
        <w:rPr>
          <w:color w:val="auto"/>
        </w:rPr>
      </w:pPr>
      <w:r>
        <w:rPr>
          <w:rFonts w:hint="eastAsia"/>
          <w:color w:val="auto"/>
        </w:rPr>
        <w:t>1、</w:t>
      </w:r>
      <w:r>
        <w:rPr>
          <w:rFonts w:hint="eastAsia"/>
          <w:color w:val="auto"/>
          <w:lang w:val="en-US" w:eastAsia="zh-CN"/>
        </w:rPr>
        <w:t>使用</w:t>
      </w:r>
      <w:r>
        <w:rPr>
          <w:rFonts w:hint="eastAsia"/>
          <w:lang w:val="en-US" w:eastAsia="zh-CN"/>
        </w:rPr>
        <w:t xml:space="preserve">Interner Explorer </w:t>
      </w:r>
      <w:r>
        <w:rPr>
          <w:rFonts w:hint="eastAsia"/>
          <w:color w:val="auto"/>
          <w:lang w:val="en-US" w:eastAsia="zh-CN"/>
        </w:rPr>
        <w:t>浏览器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（建议IE11及IE11以上版本）</w:t>
      </w:r>
      <w:r>
        <w:rPr>
          <w:rFonts w:hint="eastAsia"/>
          <w:color w:val="auto"/>
          <w:lang w:val="en-US" w:eastAsia="zh-CN"/>
        </w:rPr>
        <w:t>登录地址，选择《广西壮族自治区CA互认驱动1.3》进行</w:t>
      </w:r>
      <w:r>
        <w:rPr>
          <w:rFonts w:hint="eastAsia"/>
          <w:color w:val="auto"/>
        </w:rPr>
        <w:t>驱动下载地址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</w:rPr>
        <w:t>http://ggzy.jgswj.gxzf.gov.cn/gxggzy/gywm/004021/004021001/policyLaws.html</w:t>
      </w:r>
    </w:p>
    <w:p>
      <w:pPr>
        <w:bidi w:val="0"/>
        <w:ind w:left="0" w:leftChars="0" w:firstLine="0" w:firstLineChars="0"/>
        <w:rPr>
          <w:color w:val="auto"/>
        </w:rPr>
      </w:pPr>
      <w:r>
        <w:drawing>
          <wp:inline distT="0" distB="0" distL="114300" distR="114300">
            <wp:extent cx="5264785" cy="3129915"/>
            <wp:effectExtent l="0" t="0" r="12065" b="13335"/>
            <wp:docPr id="6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  <w:rPr>
          <w:rStyle w:val="24"/>
          <w:rFonts w:hint="eastAsia" w:ascii="Calibri" w:hAnsi="Calibri" w:eastAsia="宋体" w:cs="Times New Roman"/>
          <w:color w:val="auto"/>
        </w:rPr>
      </w:pPr>
      <w:r>
        <w:rPr>
          <w:rStyle w:val="24"/>
          <w:rFonts w:hint="eastAsia" w:ascii="Calibri" w:hAnsi="Calibri" w:eastAsia="宋体" w:cs="Times New Roman"/>
          <w:color w:val="auto"/>
        </w:rPr>
        <w:t>2、</w:t>
      </w:r>
      <w:r>
        <w:rPr>
          <w:rStyle w:val="24"/>
          <w:rFonts w:hint="eastAsia" w:ascii="Calibri" w:hAnsi="Calibri" w:eastAsia="宋体" w:cs="Times New Roman"/>
          <w:color w:val="auto"/>
          <w:lang w:val="en-US" w:eastAsia="zh-CN"/>
        </w:rPr>
        <w:t>驱动下载完成后，</w:t>
      </w:r>
      <w:r>
        <w:rPr>
          <w:rStyle w:val="24"/>
          <w:rFonts w:hint="eastAsia" w:ascii="Calibri" w:hAnsi="Calibri" w:eastAsia="宋体" w:cs="Times New Roman"/>
          <w:color w:val="auto"/>
        </w:rPr>
        <w:t>双击安装</w:t>
      </w:r>
      <w:r>
        <w:rPr>
          <w:rFonts w:hint="eastAsia"/>
        </w:rPr>
        <w:t>程序</w:t>
      </w:r>
      <w:r>
        <w:rPr>
          <w:rStyle w:val="24"/>
          <w:rFonts w:hint="eastAsia" w:ascii="Calibri" w:hAnsi="Calibri" w:eastAsia="宋体" w:cs="Times New Roman"/>
          <w:color w:val="auto"/>
        </w:rPr>
        <w:t>，进入安装页面，如下图所示：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20160"/>
            <wp:effectExtent l="0" t="0" r="7620" b="8890"/>
            <wp:docPr id="6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</w:pPr>
      <w:r>
        <w:rPr>
          <w:rFonts w:hint="eastAsia"/>
        </w:rPr>
        <w:t>注：在安装驱动之前，请确保所有浏览器均已关闭。</w:t>
      </w:r>
    </w:p>
    <w:p>
      <w:pPr>
        <w:bidi w:val="0"/>
      </w:pPr>
      <w:r>
        <w:rPr>
          <w:rFonts w:hint="eastAsia"/>
        </w:rPr>
        <w:t>3、选中协议，</w:t>
      </w:r>
      <w:r>
        <w:t>点击</w:t>
      </w:r>
      <w:r>
        <w:rPr>
          <w:rFonts w:hint="eastAsia"/>
        </w:rPr>
        <w:t>“自定义安装”选项，选择安装目录位置，默认为C盘</w:t>
      </w:r>
      <w:r>
        <w:t>。</w:t>
      </w:r>
    </w:p>
    <w:p>
      <w:pPr>
        <w:bidi w:val="0"/>
        <w:rPr>
          <w:color w:val="auto"/>
        </w:rPr>
      </w:pPr>
    </w:p>
    <w:p>
      <w:pPr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点击【立即安装】进行安装。根据提示点击【安装】，安装后点击【完成】。</w:t>
      </w:r>
    </w:p>
    <w:p>
      <w:pPr>
        <w:pStyle w:val="2"/>
        <w:ind w:left="0" w:leftChars="0" w:firstLine="0" w:firstLineChars="0"/>
      </w:pPr>
      <w:r>
        <w:drawing>
          <wp:inline distT="0" distB="0" distL="114300" distR="114300">
            <wp:extent cx="4686300" cy="3381375"/>
            <wp:effectExtent l="0" t="0" r="0" b="9525"/>
            <wp:docPr id="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724400" cy="3362325"/>
            <wp:effectExtent l="0" t="0" r="0" b="9525"/>
            <wp:docPr id="6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default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温馨提示：若安装过程中尚未关闭所有IE浏览器窗口，请选关闭所有IE浏览器再安装。</w:t>
      </w:r>
    </w:p>
    <w:p>
      <w:pPr>
        <w:pStyle w:val="2"/>
        <w:ind w:left="0" w:leftChars="0" w:firstLine="0" w:firstLineChars="0"/>
        <w:rPr>
          <w:rFonts w:hint="default"/>
          <w:color w:val="auto"/>
          <w:lang w:val="en-US" w:eastAsia="zh-CN"/>
        </w:rPr>
      </w:pPr>
      <w:r>
        <w:drawing>
          <wp:inline distT="0" distB="0" distL="114300" distR="114300">
            <wp:extent cx="5272405" cy="3472180"/>
            <wp:effectExtent l="0" t="0" r="4445" b="13970"/>
            <wp:docPr id="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4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2"/>
        </w:numPr>
        <w:bidi w:val="0"/>
      </w:pPr>
      <w:r>
        <w:rPr>
          <w:rFonts w:hint="eastAsia"/>
        </w:rPr>
        <w:t>驱动安装完成后，显示安装完成界面，如下图，点击完成按钮即可：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69230" cy="3886835"/>
            <wp:effectExtent l="0" t="0" r="7620" b="18415"/>
            <wp:docPr id="3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8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5" w:name="_Toc22818"/>
      <w:bookmarkStart w:id="16" w:name="_Toc30917"/>
      <w:r>
        <w:rPr>
          <w:rFonts w:hint="eastAsia"/>
          <w:lang w:val="en-US" w:eastAsia="zh-CN"/>
        </w:rPr>
        <w:t>检测</w:t>
      </w:r>
      <w:r>
        <w:t>工具</w:t>
      </w:r>
      <w:bookmarkEnd w:id="15"/>
      <w:bookmarkEnd w:id="16"/>
    </w:p>
    <w:p>
      <w:pPr>
        <w:bidi w:val="0"/>
        <w:rPr>
          <w:color w:val="auto"/>
        </w:rPr>
      </w:pPr>
      <w:r>
        <w:rPr>
          <w:color w:val="auto"/>
        </w:rPr>
        <w:t>启动检测工具</w:t>
      </w:r>
    </w:p>
    <w:p>
      <w:pPr>
        <w:bidi w:val="0"/>
        <w:rPr>
          <w:color w:val="auto"/>
        </w:rPr>
      </w:pPr>
      <w:r>
        <w:rPr>
          <w:color w:val="auto"/>
        </w:rPr>
        <w:t>用户可以点击桌面上的</w:t>
      </w:r>
      <w:r>
        <w:rPr>
          <w:rFonts w:hint="eastAsia"/>
          <w:color w:val="auto"/>
          <w:lang w:val="en-US" w:eastAsia="zh-CN"/>
        </w:rPr>
        <w:t>检测工具（广西互通版）</w:t>
      </w:r>
      <w:r>
        <w:rPr>
          <w:color w:val="auto"/>
        </w:rPr>
        <w:t>图标来启动检测工具，如下图：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752475" cy="876300"/>
            <wp:effectExtent l="0" t="0" r="9525" b="0"/>
            <wp:docPr id="4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系统检测</w:t>
      </w:r>
    </w:p>
    <w:p>
      <w:pPr>
        <w:numPr>
          <w:ilvl w:val="0"/>
          <w:numId w:val="3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1、检测界面分别如下：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64230"/>
            <wp:effectExtent l="0" t="0" r="4445" b="762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6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bidi w:val="0"/>
        <w:rPr>
          <w:rFonts w:hint="eastAsia"/>
        </w:rPr>
      </w:pPr>
      <w:r>
        <w:rPr>
          <w:rFonts w:hint="eastAsia"/>
          <w:lang w:val="en-US" w:eastAsia="zh-CN"/>
        </w:rPr>
        <w:t>插入CA锁，点击【一键检测】，</w:t>
      </w:r>
      <w:r>
        <w:rPr>
          <w:rFonts w:hint="eastAsia"/>
        </w:rPr>
        <w:t>输入CA密码，点击确定后，对电脑环境进行检测：</w:t>
      </w:r>
    </w:p>
    <w:p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69865" cy="3359150"/>
            <wp:effectExtent l="0" t="0" r="6985" b="12700"/>
            <wp:docPr id="4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171950" cy="2828925"/>
            <wp:effectExtent l="0" t="0" r="0" b="9525"/>
            <wp:docPr id="4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jc w:val="left"/>
      </w:pPr>
      <w:r>
        <w:rPr>
          <w:rFonts w:hint="eastAsia"/>
        </w:rPr>
        <w:t>3、下图为检测结果，可对检测不通过项进行修复：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5272405" cy="3337560"/>
            <wp:effectExtent l="0" t="0" r="4445" b="15240"/>
            <wp:docPr id="4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签章检测</w:t>
      </w:r>
    </w:p>
    <w:p>
      <w:pPr>
        <w:bidi w:val="0"/>
        <w:rPr>
          <w:color w:val="auto"/>
        </w:rPr>
      </w:pPr>
      <w:r>
        <w:rPr>
          <w:color w:val="auto"/>
        </w:rPr>
        <w:t>此页面是用于</w:t>
      </w:r>
      <w:r>
        <w:rPr>
          <w:rFonts w:hint="eastAsia"/>
          <w:color w:val="auto"/>
          <w:lang w:val="en-US" w:eastAsia="zh-CN"/>
        </w:rPr>
        <w:t>验证CA</w:t>
      </w:r>
      <w:r>
        <w:rPr>
          <w:color w:val="auto"/>
        </w:rPr>
        <w:t>证书Key是否可以正常</w:t>
      </w:r>
      <w:r>
        <w:rPr>
          <w:rFonts w:hint="eastAsia"/>
          <w:color w:val="auto"/>
        </w:rPr>
        <w:t>签章</w:t>
      </w:r>
      <w:r>
        <w:rPr>
          <w:color w:val="auto"/>
        </w:rPr>
        <w:t>，请点击</w:t>
      </w:r>
      <w:r>
        <w:rPr>
          <w:rFonts w:hint="eastAsia"/>
          <w:color w:val="auto"/>
        </w:rPr>
        <w:t>“签章显示”</w:t>
      </w:r>
      <w:r>
        <w:rPr>
          <w:color w:val="auto"/>
        </w:rPr>
        <w:t>，在出现的窗口中，选择签章</w:t>
      </w:r>
      <w:r>
        <w:rPr>
          <w:color w:val="auto"/>
        </w:rPr>
        <w:drawing>
          <wp:inline distT="0" distB="0" distL="114300" distR="114300">
            <wp:extent cx="295275" cy="238125"/>
            <wp:effectExtent l="0" t="0" r="9525" b="9525"/>
            <wp:docPr id="5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auto"/>
        </w:rPr>
        <w:t>，</w:t>
      </w:r>
      <w:r>
        <w:rPr>
          <w:color w:val="auto"/>
        </w:rPr>
        <w:t>输入证书Key的密码，点击确定按钮。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3636010"/>
            <wp:effectExtent l="0" t="0" r="8890" b="2540"/>
            <wp:docPr id="5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color w:val="auto"/>
        </w:rPr>
      </w:pPr>
      <w:r>
        <w:rPr>
          <w:color w:val="auto"/>
        </w:rPr>
        <w:t>如果能成功加盖印章，并且有勾显示，则证明证书Key没有问题</w:t>
      </w:r>
      <w:r>
        <w:rPr>
          <w:rFonts w:hint="eastAsia"/>
          <w:color w:val="auto"/>
        </w:rPr>
        <w:t>，</w:t>
      </w:r>
      <w:r>
        <w:rPr>
          <w:color w:val="auto"/>
        </w:rPr>
        <w:t>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248910" cy="2609850"/>
            <wp:effectExtent l="0" t="0" r="8890" b="0"/>
            <wp:docPr id="6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</w:pPr>
      <w:bookmarkStart w:id="17" w:name="_Toc18495"/>
      <w:bookmarkStart w:id="18" w:name="_Toc10773"/>
      <w:r>
        <w:rPr>
          <w:rFonts w:hint="eastAsia"/>
          <w:lang w:val="en-US" w:eastAsia="zh-CN"/>
        </w:rPr>
        <w:t>浏览器</w:t>
      </w:r>
      <w:r>
        <w:t>配置</w:t>
      </w:r>
      <w:bookmarkEnd w:id="17"/>
      <w:bookmarkEnd w:id="18"/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</w:pPr>
      <w:bookmarkStart w:id="19" w:name="_Toc22173"/>
      <w:bookmarkStart w:id="20" w:name="_Toc12624"/>
      <w:r>
        <w:t>Internet选项</w:t>
      </w:r>
      <w:bookmarkEnd w:id="19"/>
      <w:bookmarkEnd w:id="20"/>
    </w:p>
    <w:p>
      <w:pPr>
        <w:bidi w:val="0"/>
        <w:rPr>
          <w:color w:val="auto"/>
        </w:rPr>
      </w:pPr>
      <w:r>
        <w:rPr>
          <w:color w:val="auto"/>
        </w:rPr>
        <w:t>为了让系统插件能够正常工作，请</w:t>
      </w:r>
      <w:r>
        <w:rPr>
          <w:rFonts w:hint="eastAsia"/>
          <w:color w:val="auto"/>
          <w:lang w:val="en-US" w:eastAsia="zh-CN"/>
        </w:rPr>
        <w:t>使用Interner Explorer 浏览器（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建议IE11及IE11以上版本</w:t>
      </w:r>
      <w:r>
        <w:rPr>
          <w:rFonts w:hint="eastAsia"/>
          <w:color w:val="auto"/>
          <w:lang w:val="en-US" w:eastAsia="zh-CN"/>
        </w:rPr>
        <w:t>）</w:t>
      </w:r>
      <w:r>
        <w:rPr>
          <w:color w:val="auto"/>
        </w:rPr>
        <w:t>按照以下步骤进行浏览器的配置。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打开</w:t>
      </w:r>
      <w:r>
        <w:rPr>
          <w:rFonts w:hint="eastAsia"/>
          <w:color w:val="auto"/>
          <w:lang w:val="en-US" w:eastAsia="zh-CN"/>
        </w:rPr>
        <w:t>IE</w:t>
      </w:r>
      <w:r>
        <w:rPr>
          <w:color w:val="auto"/>
        </w:rPr>
        <w:t>浏览器，在</w:t>
      </w:r>
      <w:r>
        <w:rPr>
          <w:rFonts w:hint="eastAsia"/>
          <w:color w:val="auto"/>
        </w:rPr>
        <w:t>“</w:t>
      </w:r>
      <w:r>
        <w:rPr>
          <w:color w:val="auto"/>
        </w:rPr>
        <w:t>工具</w:t>
      </w:r>
      <w:r>
        <w:rPr>
          <w:rFonts w:hint="eastAsia"/>
          <w:color w:val="auto"/>
        </w:rPr>
        <w:t>”</w:t>
      </w:r>
      <w:r>
        <w:rPr>
          <w:color w:val="auto"/>
        </w:rPr>
        <w:t>菜单→</w:t>
      </w:r>
      <w:r>
        <w:rPr>
          <w:rFonts w:hint="eastAsia"/>
          <w:color w:val="auto"/>
        </w:rPr>
        <w:t>“I</w:t>
      </w:r>
      <w:r>
        <w:rPr>
          <w:color w:val="auto"/>
        </w:rPr>
        <w:t>nternet选项</w:t>
      </w:r>
      <w:r>
        <w:rPr>
          <w:rFonts w:hint="eastAsia"/>
          <w:color w:val="auto"/>
        </w:rPr>
        <w:t>”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62350" cy="3152775"/>
            <wp:effectExtent l="0" t="0" r="0" b="9525"/>
            <wp:docPr id="6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弹出对话框之后，请选择</w:t>
      </w:r>
      <w:r>
        <w:rPr>
          <w:rFonts w:hint="eastAsia"/>
          <w:color w:val="auto"/>
        </w:rPr>
        <w:t>“</w:t>
      </w:r>
      <w:r>
        <w:rPr>
          <w:color w:val="auto"/>
        </w:rPr>
        <w:t>安全</w:t>
      </w:r>
      <w:r>
        <w:rPr>
          <w:rFonts w:hint="eastAsia"/>
          <w:color w:val="auto"/>
        </w:rPr>
        <w:t>”</w:t>
      </w:r>
      <w:r>
        <w:rPr>
          <w:color w:val="auto"/>
        </w:rPr>
        <w:t>选项卡，具体的界面，如下图：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2914650" cy="3476625"/>
            <wp:effectExtent l="0" t="0" r="0" b="9525"/>
            <wp:docPr id="5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点击绿色的</w:t>
      </w:r>
      <w:r>
        <w:rPr>
          <w:rFonts w:hint="eastAsia"/>
        </w:rPr>
        <w:t>“</w:t>
      </w:r>
      <w:r>
        <w:rPr>
          <w:rFonts w:hint="eastAsia"/>
          <w:color w:val="auto"/>
        </w:rPr>
        <w:t>可信</w:t>
      </w:r>
      <w:r>
        <w:t>站点</w:t>
      </w:r>
      <w:r>
        <w:rPr>
          <w:rFonts w:hint="eastAsia"/>
        </w:rPr>
        <w:t>”</w:t>
      </w:r>
      <w:r>
        <w:t>的图片，如下图：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648075" cy="3895725"/>
            <wp:effectExtent l="0" t="0" r="9525" b="9525"/>
            <wp:docPr id="5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点击</w:t>
      </w:r>
      <w:r>
        <w:rPr>
          <w:rFonts w:hint="eastAsia"/>
          <w:color w:val="auto"/>
        </w:rPr>
        <w:t>“</w:t>
      </w:r>
      <w:r>
        <w:rPr>
          <w:color w:val="auto"/>
        </w:rPr>
        <w:t>站点</w:t>
      </w:r>
      <w:r>
        <w:rPr>
          <w:rFonts w:hint="eastAsia"/>
          <w:color w:val="auto"/>
        </w:rPr>
        <w:t>”</w:t>
      </w:r>
      <w:r>
        <w:rPr>
          <w:color w:val="auto"/>
        </w:rPr>
        <w:t>按钮，出现如下对话框，如下图</w:t>
      </w:r>
      <w:r>
        <w:rPr>
          <w:rFonts w:hint="eastAsia"/>
          <w:color w:val="auto"/>
        </w:rPr>
        <w:t>，</w:t>
      </w:r>
      <w:r>
        <w:rPr>
          <w:color w:val="auto"/>
        </w:rPr>
        <w:t>输入系统的IP地址，</w:t>
      </w:r>
      <w:r>
        <w:rPr>
          <w:rFonts w:hint="eastAsia"/>
          <w:color w:val="auto"/>
        </w:rPr>
        <w:t>http://202.103.240.162:8081/GgzyjySSO/login/oauth2login</w:t>
      </w:r>
      <w:r>
        <w:rPr>
          <w:color w:val="auto"/>
        </w:rPr>
        <w:t>，然后点击</w:t>
      </w:r>
      <w:r>
        <w:rPr>
          <w:rFonts w:hint="eastAsia"/>
          <w:color w:val="auto"/>
        </w:rPr>
        <w:t>“</w:t>
      </w:r>
      <w:r>
        <w:rPr>
          <w:color w:val="auto"/>
        </w:rPr>
        <w:t>添加</w:t>
      </w:r>
      <w:r>
        <w:rPr>
          <w:rFonts w:hint="eastAsia"/>
          <w:color w:val="auto"/>
        </w:rPr>
        <w:t>”</w:t>
      </w:r>
      <w:r>
        <w:rPr>
          <w:color w:val="auto"/>
        </w:rPr>
        <w:t>按钮完成添加，再按</w:t>
      </w:r>
      <w:r>
        <w:rPr>
          <w:rFonts w:hint="eastAsia"/>
          <w:color w:val="auto"/>
        </w:rPr>
        <w:t>“</w:t>
      </w:r>
      <w:r>
        <w:rPr>
          <w:color w:val="auto"/>
        </w:rPr>
        <w:t>关闭</w:t>
      </w:r>
      <w:r>
        <w:rPr>
          <w:rFonts w:hint="eastAsia"/>
          <w:color w:val="auto"/>
        </w:rPr>
        <w:t>”</w:t>
      </w:r>
      <w:r>
        <w:rPr>
          <w:color w:val="auto"/>
        </w:rPr>
        <w:t>按钮退出。</w:t>
      </w:r>
    </w:p>
    <w:p>
      <w:pPr>
        <w:pStyle w:val="2"/>
        <w:jc w:val="left"/>
        <w:rPr>
          <w:rFonts w:hint="default" w:eastAsia="仿宋"/>
          <w:b/>
          <w:bCs/>
          <w:lang w:val="en-US" w:eastAsia="zh-CN"/>
        </w:rPr>
      </w:pPr>
      <w:r>
        <w:rPr>
          <w:rFonts w:hint="eastAsia"/>
          <w:b/>
          <w:bCs/>
          <w:color w:val="auto"/>
          <w:lang w:val="en-US" w:eastAsia="zh-CN"/>
        </w:rPr>
        <w:t>温馨提示：请各交易平台系统的IP地址不同，请根据实际的系统输入IP地址。</w:t>
      </w:r>
    </w:p>
    <w:p>
      <w:pPr>
        <w:bidi w:val="0"/>
        <w:rPr>
          <w:color w:val="auto"/>
        </w:rPr>
      </w:pPr>
      <w:r>
        <w:drawing>
          <wp:inline distT="0" distB="0" distL="114300" distR="114300">
            <wp:extent cx="4286250" cy="4238625"/>
            <wp:effectExtent l="0" t="0" r="0" b="9525"/>
            <wp:docPr id="4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设置自定义安全</w:t>
      </w:r>
      <w:r>
        <w:rPr>
          <w:rFonts w:hint="eastAsia"/>
          <w:color w:val="auto"/>
        </w:rPr>
        <w:t>级别</w:t>
      </w:r>
      <w:r>
        <w:rPr>
          <w:color w:val="auto"/>
        </w:rPr>
        <w:t>，开放Activex的访问权限，如下图：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33775" cy="4152900"/>
            <wp:effectExtent l="0" t="0" r="9525" b="0"/>
            <wp:docPr id="6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在弹出窗口中</w:t>
      </w:r>
      <w:r>
        <w:rPr>
          <w:color w:val="auto"/>
        </w:rPr>
        <w:t>把Activex控件和插件的设置全部改为启用，如下图：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486150" cy="3676650"/>
            <wp:effectExtent l="0" t="0" r="0" b="0"/>
            <wp:docPr id="4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</w:pPr>
      <w:r>
        <w:t>文件下载</w:t>
      </w:r>
      <w:r>
        <w:rPr>
          <w:rFonts w:hint="eastAsia"/>
        </w:rPr>
        <w:t>设置</w:t>
      </w:r>
      <w:r>
        <w:t>，开放文件下载的权限：设置为启用，如下图：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3524250" cy="3705225"/>
            <wp:effectExtent l="0" t="0" r="0" b="9525"/>
            <wp:docPr id="6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1" w:name="_Toc21396"/>
      <w:bookmarkStart w:id="22" w:name="_Toc32589"/>
      <w:r>
        <w:rPr>
          <w:rFonts w:ascii="Times New Roman" w:hAnsi="Times New Roman" w:eastAsia="宋体"/>
        </w:rPr>
        <w:t>关闭</w:t>
      </w:r>
      <w:r>
        <w:t>拦截</w:t>
      </w:r>
      <w:r>
        <w:rPr>
          <w:rFonts w:ascii="Times New Roman" w:hAnsi="Times New Roman" w:eastAsia="宋体"/>
        </w:rPr>
        <w:t>工具</w:t>
      </w:r>
      <w:bookmarkEnd w:id="21"/>
      <w:bookmarkEnd w:id="22"/>
    </w:p>
    <w:p>
      <w:pPr>
        <w:bidi w:val="0"/>
        <w:rPr>
          <w:color w:val="auto"/>
        </w:rPr>
      </w:pPr>
      <w:r>
        <w:rPr>
          <w:color w:val="auto"/>
        </w:rPr>
        <w:t>在windows工具栏中关闭弹出窗口阻止程序的操作，如下图：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5095875" cy="2324100"/>
            <wp:effectExtent l="0" t="0" r="9525" b="0"/>
            <wp:docPr id="6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2"/>
          <w:numId w:val="4"/>
        </w:numPr>
        <w:tabs>
          <w:tab w:val="left" w:pos="567"/>
        </w:tabs>
        <w:bidi w:val="0"/>
        <w:ind w:left="709" w:leftChars="0" w:hanging="709" w:firstLineChars="0"/>
        <w:rPr>
          <w:rFonts w:ascii="Times New Roman" w:hAnsi="Times New Roman" w:eastAsia="宋体"/>
        </w:rPr>
      </w:pPr>
      <w:bookmarkStart w:id="23" w:name="_Toc27472"/>
      <w:bookmarkStart w:id="24" w:name="_Toc4698"/>
      <w:r>
        <w:rPr>
          <w:rFonts w:hint="eastAsia" w:ascii="Times New Roman" w:hAnsi="Times New Roman" w:eastAsia="宋体"/>
        </w:rPr>
        <w:t>兼容性视图设置</w:t>
      </w:r>
      <w:bookmarkEnd w:id="23"/>
      <w:bookmarkEnd w:id="24"/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color w:val="auto"/>
        </w:rPr>
        <w:t>在windows工具栏中</w:t>
      </w:r>
      <w:r>
        <w:rPr>
          <w:rFonts w:hint="eastAsia"/>
          <w:color w:val="auto"/>
        </w:rPr>
        <w:t>点击兼容性视图设置选项</w:t>
      </w:r>
      <w:r>
        <w:rPr>
          <w:color w:val="auto"/>
        </w:rPr>
        <w:t>，如下图：</w:t>
      </w:r>
    </w:p>
    <w:p>
      <w:pPr>
        <w:bidi w:val="0"/>
        <w:rPr>
          <w:color w:val="auto"/>
        </w:rPr>
      </w:pPr>
      <w:r>
        <w:rPr>
          <w:color w:val="auto"/>
        </w:rPr>
        <w:drawing>
          <wp:inline distT="0" distB="0" distL="114300" distR="114300">
            <wp:extent cx="4311015" cy="3192145"/>
            <wp:effectExtent l="0" t="0" r="13335" b="8255"/>
            <wp:docPr id="5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20" w:firstLineChars="200"/>
        <w:textAlignment w:val="auto"/>
        <w:rPr>
          <w:color w:val="auto"/>
        </w:rPr>
      </w:pPr>
      <w:r>
        <w:rPr>
          <w:rFonts w:hint="eastAsia"/>
          <w:color w:val="auto"/>
        </w:rPr>
        <w:t>在弹出对话框中输入网址，点击添加按钮，如图所示：</w:t>
      </w:r>
    </w:p>
    <w:p>
      <w:pPr>
        <w:bidi w:val="0"/>
      </w:pPr>
      <w:r>
        <w:rPr>
          <w:color w:val="auto"/>
        </w:rPr>
        <w:drawing>
          <wp:inline distT="0" distB="0" distL="114300" distR="114300">
            <wp:extent cx="2738120" cy="3463290"/>
            <wp:effectExtent l="0" t="0" r="5080" b="3810"/>
            <wp:docPr id="70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4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346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432" w:leftChars="0" w:hanging="432" w:firstLineChars="0"/>
      </w:pPr>
      <w:bookmarkStart w:id="25" w:name="_Toc4609"/>
      <w:r>
        <w:rPr>
          <w:rFonts w:hint="eastAsia"/>
        </w:rPr>
        <w:t>系统</w:t>
      </w:r>
      <w:r>
        <w:rPr>
          <w:rFonts w:hint="eastAsia"/>
          <w:lang w:val="en-US" w:eastAsia="zh-CN"/>
        </w:rPr>
        <w:t>注册、</w:t>
      </w:r>
      <w:r>
        <w:rPr>
          <w:rFonts w:hint="eastAsia"/>
        </w:rPr>
        <w:t>登录</w:t>
      </w:r>
      <w:bookmarkEnd w:id="10"/>
      <w:bookmarkEnd w:id="25"/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网上注册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交易主体（代理机构、投标人），选择平台系统，以选【自治区】为列。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960" cy="3159125"/>
            <wp:effectExtent l="0" t="0" r="8890" b="317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登录广西壮族自治区公共资源交易平台系统首页。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4310" cy="2280920"/>
            <wp:effectExtent l="0" t="0" r="2540" b="5080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eastAsia="zh-CN"/>
        </w:rPr>
        <w:t>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685800" cy="295275"/>
            <wp:effectExtent l="0" t="0" r="0" b="952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，进入主体注册页面，如图所示：</w:t>
      </w:r>
    </w:p>
    <w:p>
      <w:r>
        <w:drawing>
          <wp:inline distT="0" distB="0" distL="114300" distR="114300">
            <wp:extent cx="5266055" cy="3766185"/>
            <wp:effectExtent l="0" t="0" r="10795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76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选择法人，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仔细阅读“注册协议”，完成阅读后点击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023620" cy="231140"/>
            <wp:effectExtent l="0" t="0" r="5080" b="16510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023620" cy="23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，进行基本信息填写页面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，其中：</w:t>
      </w:r>
    </w:p>
    <w:p>
      <w:pPr>
        <w:pStyle w:val="12"/>
        <w:numPr>
          <w:ilvl w:val="0"/>
          <w:numId w:val="8"/>
        </w:numPr>
        <w:ind w:left="0" w:leftChars="0" w:right="101" w:rightChars="0" w:firstLine="420" w:firstLineChars="20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法人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注册类型分为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招标人、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投标人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和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三种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类型。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型包含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采购代理和权益类交易机构类型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，注册成功后可自行添加；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请选择代理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，如图所示：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74945" cy="3723640"/>
            <wp:effectExtent l="0" t="0" r="1905" b="10160"/>
            <wp:docPr id="1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72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1"/>
          <w:szCs w:val="21"/>
          <w:lang w:eastAsia="zh-CN"/>
        </w:rPr>
      </w:pPr>
      <w:r>
        <w:rPr>
          <w:rFonts w:hint="eastAsia"/>
          <w:sz w:val="21"/>
          <w:szCs w:val="21"/>
          <w:lang w:eastAsia="zh-CN"/>
        </w:rPr>
        <w:t>注：选择本次注册的用户类型，且确保填写的信息无误并自行记录。</w:t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注册成功之后，点击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drawing>
          <wp:inline distT="0" distB="0" distL="114300" distR="114300">
            <wp:extent cx="1285875" cy="223520"/>
            <wp:effectExtent l="0" t="0" r="9525" b="5080"/>
            <wp:docPr id="1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即可登录广西壮族自治区公共资源交易平台系统，如图所示：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0500" cy="2460625"/>
            <wp:effectExtent l="0" t="0" r="6350" b="15875"/>
            <wp:docPr id="1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9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46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7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第一次登录系统需要完善主体的个人信息，登录系统后会弹出提示框，点击“确认”即可进入信息完善页面，如图所示：</w:t>
      </w:r>
    </w:p>
    <w:p>
      <w:pPr>
        <w:numPr>
          <w:ilvl w:val="0"/>
          <w:numId w:val="0"/>
        </w:numPr>
        <w:ind w:leftChars="20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3375025" cy="1790700"/>
            <wp:effectExtent l="0" t="0" r="15875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375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/>
        <w:rPr>
          <w:rFonts w:hint="eastAsia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温馨提示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：注册成功后，可登录</w:t>
      </w:r>
      <w:r>
        <w:rPr>
          <w:rFonts w:hint="eastAsia"/>
          <w:sz w:val="21"/>
          <w:szCs w:val="21"/>
          <w:lang w:val="en-US" w:eastAsia="zh-CN"/>
        </w:rPr>
        <w:t>广西壮族自治区公共资源交易平台系统全区平台系统。</w:t>
      </w:r>
    </w:p>
    <w:p>
      <w:pPr>
        <w:rPr>
          <w:rFonts w:hint="eastAsia"/>
          <w:lang w:val="en-US" w:eastAsia="zh-CN"/>
        </w:rPr>
      </w:pPr>
    </w:p>
    <w:p>
      <w:pPr>
        <w:pStyle w:val="5"/>
        <w:tabs>
          <w:tab w:val="left" w:pos="0"/>
          <w:tab w:val="clear" w:pos="567"/>
        </w:tabs>
        <w:bidi w:val="0"/>
        <w:ind w:left="575" w:leftChars="0" w:hanging="57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系统登录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2" w:firstLineChars="20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请使用IE浏览器（建议使用IE11及IE11以上版本）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登录全国公共资源交易平台（广西壮族自治区）网站(网址：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cs="宋体"/>
          <w:sz w:val="21"/>
          <w:szCs w:val="21"/>
          <w:lang w:val="en-US" w:eastAsia="zh-CN"/>
        </w:rPr>
        <w:instrText xml:space="preserve"> HYPERLINK "http://ggzy.jgswj.gxzf.gov.cn/），" </w:instrTex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separate"/>
      </w:r>
      <w:r>
        <w:rPr>
          <w:rStyle w:val="24"/>
          <w:rFonts w:hint="eastAsia" w:ascii="宋体" w:hAnsi="宋体" w:cs="宋体"/>
          <w:sz w:val="21"/>
          <w:szCs w:val="21"/>
          <w:lang w:val="en-US" w:eastAsia="zh-CN"/>
        </w:rPr>
        <w:t>http://ggzy.jgswj.gxzf.gov.cn/），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cs="宋体"/>
          <w:sz w:val="21"/>
          <w:szCs w:val="21"/>
          <w:lang w:val="en-US" w:eastAsia="zh-CN"/>
        </w:rPr>
        <w:t>点击【公共资源交易平台系统统一登陆入口】。</w:t>
      </w:r>
    </w:p>
    <w:p>
      <w:pPr>
        <w:pStyle w:val="12"/>
        <w:numPr>
          <w:ilvl w:val="0"/>
          <w:numId w:val="0"/>
        </w:numPr>
        <w:ind w:right="101" w:rightChars="0"/>
        <w:rPr>
          <w:rFonts w:hint="eastAsia"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6690" cy="3815080"/>
            <wp:effectExtent l="0" t="0" r="1016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1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420" w:firstLineChars="200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根据项目所在平台系统，在交易主体（代理机构、投标人）选择相应的平台，例如选择自治区平台。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right="0" w:rightChars="0"/>
        <w:textAlignment w:val="auto"/>
        <w:rPr>
          <w:rFonts w:hint="eastAsia" w:ascii="宋体" w:hAnsi="宋体"/>
        </w:rPr>
      </w:pPr>
      <w:r>
        <w:drawing>
          <wp:inline distT="0" distB="0" distL="114300" distR="114300">
            <wp:extent cx="5267960" cy="3159125"/>
            <wp:effectExtent l="0" t="0" r="8890" b="317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15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rFonts w:hint="eastAsia"/>
          <w:sz w:val="21"/>
          <w:szCs w:val="21"/>
          <w:lang w:val="en-US" w:eastAsia="zh-CN"/>
        </w:rPr>
        <w:t>登录广西壮族自治区公共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资源</w:t>
      </w:r>
      <w:r>
        <w:rPr>
          <w:rFonts w:hint="eastAsia"/>
          <w:sz w:val="21"/>
          <w:szCs w:val="21"/>
          <w:lang w:val="en-US" w:eastAsia="zh-CN"/>
        </w:rPr>
        <w:t>交易平台系统，支持CA登录、用户登录、扫码登录。采用CA锁登录时，先插入CA锁再输入密码，点击“立即登录”按钮，进入系统。采用用户密码方式，输入账号、密码，点击“立即登录”按钮，进入系统。采用扫码登录，采用桂交易移动CA扫码，点击“立即登录”按钮，进入系统。如下图所示。</w:t>
      </w:r>
      <w:r>
        <w:drawing>
          <wp:inline distT="0" distB="0" distL="114300" distR="114300">
            <wp:extent cx="5276215" cy="2386330"/>
            <wp:effectExtent l="0" t="0" r="635" b="1397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26" w:name="_Toc29810"/>
      <w:r>
        <w:rPr>
          <w:rFonts w:hint="eastAsia"/>
          <w:b/>
          <w:bCs/>
          <w:lang w:val="en-US" w:eastAsia="zh-CN"/>
        </w:rPr>
        <w:t>完善主体信息</w:t>
      </w:r>
      <w:bookmarkEnd w:id="26"/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7" w:name="_Toc26751"/>
      <w:r>
        <w:rPr>
          <w:rFonts w:hint="eastAsia"/>
          <w:b/>
          <w:bCs/>
          <w:lang w:val="en-US" w:eastAsia="zh-CN"/>
        </w:rPr>
        <w:t>基本</w:t>
      </w:r>
      <w:r>
        <w:rPr>
          <w:rFonts w:hint="eastAsia"/>
          <w:lang w:eastAsia="zh-CN"/>
        </w:rPr>
        <w:t>信息</w:t>
      </w:r>
      <w:bookmarkEnd w:id="27"/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管理】-【基本信息】-【修改信息】，完善投标人信息管理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。</w:t>
      </w:r>
    </w:p>
    <w:p>
      <w:pPr>
        <w:ind w:left="0" w:leftChars="0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68595" cy="2155190"/>
            <wp:effectExtent l="0" t="0" r="8255" b="16510"/>
            <wp:docPr id="1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sz w:val="24"/>
          <w:szCs w:val="24"/>
        </w:rPr>
      </w:pP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点击【电子件管理】-【上传材料】，上传单位相关电子件。</w:t>
      </w:r>
    </w:p>
    <w:p>
      <w:pPr>
        <w:numPr>
          <w:ilvl w:val="0"/>
          <w:numId w:val="0"/>
        </w:numPr>
        <w:rPr>
          <w:sz w:val="24"/>
          <w:szCs w:val="24"/>
        </w:rPr>
      </w:pPr>
      <w:r>
        <w:drawing>
          <wp:inline distT="0" distB="0" distL="114300" distR="114300">
            <wp:extent cx="5263515" cy="2004060"/>
            <wp:effectExtent l="0" t="0" r="13335" b="15240"/>
            <wp:docPr id="1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点击【电子件管理】-【作废选定】，作废扫描件，作废的扫描件将不能继续使用。</w:t>
      </w:r>
    </w:p>
    <w:p>
      <w:pPr>
        <w:pStyle w:val="21"/>
        <w:ind w:left="0" w:leftChars="0" w:firstLine="0" w:firstLineChars="0"/>
        <w:rPr>
          <w:rFonts w:hint="eastAsia"/>
          <w:lang w:eastAsia="zh-CN"/>
        </w:rPr>
      </w:pPr>
      <w:r>
        <w:drawing>
          <wp:inline distT="0" distB="0" distL="114300" distR="114300">
            <wp:extent cx="5276850" cy="2366645"/>
            <wp:effectExtent l="0" t="0" r="0" b="14605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0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修改保存】，对已完善的信息进行保存，以防出现意外而导致需要重复录入。确认信息无误后，点击【下一步】-【提交入库】，完成单位信息入库操作（提交审核自动通过）。若单位需要再次完善信息，请点击【修改】，修改完成后再重复提交入库操作。</w:t>
      </w:r>
    </w:p>
    <w:p>
      <w:pPr>
        <w:numPr>
          <w:ilvl w:val="0"/>
          <w:numId w:val="0"/>
        </w:numPr>
        <w:ind w:left="630" w:leftChars="0"/>
        <w:rPr>
          <w:rFonts w:hint="default"/>
          <w:lang w:val="en-US" w:eastAsia="zh-CN"/>
        </w:rPr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eastAsia="zh-CN"/>
        </w:rPr>
      </w:pPr>
      <w:bookmarkStart w:id="28" w:name="_Toc933"/>
      <w:bookmarkStart w:id="29" w:name="_Toc4154"/>
      <w:r>
        <w:rPr>
          <w:rFonts w:hint="eastAsia"/>
          <w:b/>
          <w:bCs/>
          <w:lang w:val="en-US" w:eastAsia="zh-CN"/>
        </w:rPr>
        <w:t>业务</w:t>
      </w:r>
      <w:r>
        <w:rPr>
          <w:rFonts w:hint="eastAsia"/>
          <w:lang w:eastAsia="zh-CN"/>
        </w:rPr>
        <w:t>类型</w:t>
      </w:r>
      <w:bookmarkEnd w:id="28"/>
    </w:p>
    <w:p>
      <w:pPr>
        <w:pStyle w:val="12"/>
        <w:numPr>
          <w:ilvl w:val="0"/>
          <w:numId w:val="11"/>
        </w:numPr>
        <w:ind w:left="0" w:leftChars="0" w:right="101" w:firstLine="403" w:firstLine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信息管理】-【业务类型】，勾选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【权益类交易机构】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的业务类型，点击【添加保存】，完成业务类型添加。</w:t>
      </w:r>
    </w:p>
    <w:p>
      <w:pPr>
        <w:ind w:left="0" w:leftChars="0" w:right="101" w:firstLine="0" w:firstLineChars="0"/>
        <w:jc w:val="both"/>
      </w:pPr>
      <w:r>
        <w:drawing>
          <wp:inline distT="0" distB="0" distL="114300" distR="114300">
            <wp:extent cx="5277485" cy="1750060"/>
            <wp:effectExtent l="0" t="0" r="18415" b="2540"/>
            <wp:docPr id="2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0"/>
        </w:numPr>
        <w:ind w:left="403" w:leftChars="0" w:right="101" w:rightChars="0" w:firstLine="211" w:firstLineChars="10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温馨提示：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eastAsia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业务类型添加【权益类交易机构】之前，请先办理CA锁，CA锁办理和激活请查看</w:t>
      </w:r>
      <w:r>
        <w:rPr>
          <w:rFonts w:hint="eastAsia"/>
          <w:b/>
          <w:bCs/>
          <w:lang w:val="en-US" w:eastAsia="zh-CN"/>
        </w:rPr>
        <w:t>http://ggzy.jgswj.gxzf.gov.cn/gxggzy/CAhrpt/CAlogin.html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。</w:t>
      </w:r>
    </w:p>
    <w:p>
      <w:pPr>
        <w:pStyle w:val="12"/>
        <w:numPr>
          <w:ilvl w:val="0"/>
          <w:numId w:val="12"/>
        </w:numPr>
        <w:ind w:left="1055" w:leftChars="0" w:right="101" w:rightChars="0" w:hanging="425" w:firstLineChars="0"/>
        <w:rPr>
          <w:rFonts w:hint="default" w:ascii="宋体" w:hAnsi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无【权益类交易机构】业务类型的，权益类项目登记无法新增。</w:t>
      </w:r>
    </w:p>
    <w:bookmarkEnd w:id="29"/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0" w:name="_Toc905"/>
      <w:r>
        <w:rPr>
          <w:rFonts w:hint="eastAsia"/>
          <w:lang w:val="en-US" w:eastAsia="zh-CN"/>
        </w:rPr>
        <w:t>变更历史</w:t>
      </w:r>
      <w:bookmarkEnd w:id="30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】-【变更历史】，查看单位信息的变更历史。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1714500"/>
            <wp:effectExtent l="0" t="0" r="10160" b="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1" w:name="_Toc7878"/>
      <w:r>
        <w:rPr>
          <w:rFonts w:hint="eastAsia"/>
          <w:lang w:val="en-US" w:eastAsia="zh-CN"/>
        </w:rPr>
        <w:t>修改密码</w:t>
      </w:r>
      <w:bookmarkEnd w:id="31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】-【修改密码】，输入需要原密码和新</w:t>
      </w:r>
      <w:r>
        <w:rPr>
          <w:rFonts w:hint="eastAsia" w:ascii="宋体" w:hAnsi="宋体" w:cs="宋体"/>
          <w:sz w:val="21"/>
          <w:szCs w:val="21"/>
          <w:lang w:val="en-US" w:eastAsia="zh-CN"/>
        </w:rPr>
        <w:t>密码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，点击【修改密码】完成修改密码操作。</w:t>
      </w:r>
    </w:p>
    <w:p>
      <w:pPr>
        <w:pStyle w:val="21"/>
        <w:ind w:left="0" w:leftChars="0" w:firstLine="0" w:firstLineChars="0"/>
        <w:rPr>
          <w:rFonts w:hint="eastAsia"/>
          <w:lang w:val="en-US" w:eastAsia="zh-CN"/>
        </w:rPr>
      </w:pPr>
    </w:p>
    <w:p>
      <w:pPr>
        <w:ind w:left="0" w:leftChars="0" w:firstLine="0" w:firstLineChars="0"/>
      </w:pPr>
    </w:p>
    <w:p>
      <w:pPr>
        <w:pStyle w:val="5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102" w:firstLine="0" w:firstLineChars="0"/>
        <w:textAlignment w:val="auto"/>
        <w:rPr>
          <w:rFonts w:hint="eastAsia"/>
          <w:lang w:val="en-US" w:eastAsia="zh-CN"/>
        </w:rPr>
      </w:pPr>
      <w:bookmarkStart w:id="32" w:name="_Toc3967"/>
      <w:r>
        <w:rPr>
          <w:rFonts w:hint="eastAsia"/>
          <w:lang w:val="en-US" w:eastAsia="zh-CN"/>
        </w:rPr>
        <w:t>修改联系方式</w:t>
      </w:r>
      <w:bookmarkEnd w:id="32"/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点击【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招标代理信息管理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】-【修改信息】，输入新的电话号码与邮箱，点击保存修改。</w:t>
      </w:r>
    </w:p>
    <w:p>
      <w:pPr>
        <w:pStyle w:val="21"/>
        <w:ind w:left="0" w:leftChars="0" w:firstLine="0" w:firstLineChars="0"/>
      </w:pPr>
      <w:r>
        <w:drawing>
          <wp:inline distT="0" distB="0" distL="114300" distR="114300">
            <wp:extent cx="5274945" cy="1273810"/>
            <wp:effectExtent l="0" t="0" r="1905" b="254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keepNext/>
        <w:keepLines/>
        <w:pageBreakBefore w:val="0"/>
        <w:widowControl w:val="0"/>
        <w:tabs>
          <w:tab w:val="left" w:pos="567"/>
          <w:tab w:val="clear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left="0" w:leftChars="0" w:right="0" w:rightChars="0" w:firstLine="0" w:firstLineChars="0"/>
        <w:textAlignment w:val="auto"/>
        <w:rPr>
          <w:rFonts w:hint="default"/>
          <w:b/>
          <w:bCs/>
          <w:lang w:val="en-US" w:eastAsia="zh-CN"/>
        </w:rPr>
      </w:pPr>
      <w:bookmarkStart w:id="33" w:name="_Toc31864"/>
      <w:bookmarkStart w:id="34" w:name="_Toc8613"/>
      <w:bookmarkStart w:id="35" w:name="_Toc30691"/>
      <w:r>
        <w:rPr>
          <w:rFonts w:hint="eastAsia"/>
          <w:b/>
          <w:bCs/>
          <w:lang w:val="en-US" w:eastAsia="zh-CN"/>
        </w:rPr>
        <w:t>CA锁办理和激活</w:t>
      </w:r>
      <w:bookmarkEnd w:id="33"/>
      <w:bookmarkEnd w:id="34"/>
      <w:bookmarkEnd w:id="35"/>
    </w:p>
    <w:p>
      <w:pPr>
        <w:spacing w:line="36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</w:rPr>
        <w:t>尚未办理CA锁的</w:t>
      </w:r>
      <w:r>
        <w:rPr>
          <w:rFonts w:hint="eastAsia"/>
          <w:lang w:val="en-US" w:eastAsia="zh-CN"/>
        </w:rPr>
        <w:t>权益类交易机构</w:t>
      </w:r>
      <w:r>
        <w:rPr>
          <w:rFonts w:hint="eastAsia"/>
        </w:rPr>
        <w:t>，请自行联系</w:t>
      </w:r>
      <w:r>
        <w:rPr>
          <w:rFonts w:hint="eastAsia"/>
          <w:lang w:val="en-US" w:eastAsia="zh-CN"/>
        </w:rPr>
        <w:t>CA公司办理激活。办理地址：http://ggzy.jgswj.gxzf.gov.cn/gxggzy/CAhrpt/CAlogin.html</w:t>
      </w:r>
    </w:p>
    <w:p>
      <w:pPr>
        <w:spacing w:line="360" w:lineRule="auto"/>
        <w:ind w:left="0" w:leftChars="0" w:firstLine="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3352165"/>
            <wp:effectExtent l="0" t="0" r="7620" b="635"/>
            <wp:docPr id="2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7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5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rPr>
          <w:rFonts w:hint="default"/>
          <w:lang w:val="en-US" w:eastAsia="zh-CN"/>
        </w:rPr>
      </w:pPr>
      <w:bookmarkStart w:id="66" w:name="_GoBack"/>
      <w:bookmarkEnd w:id="66"/>
    </w:p>
    <w:p>
      <w:pPr>
        <w:spacing w:line="360" w:lineRule="auto"/>
        <w:rPr>
          <w:b/>
          <w:color w:val="FF0000"/>
        </w:rPr>
      </w:pPr>
      <w:r>
        <w:rPr>
          <w:rFonts w:hint="eastAsia"/>
          <w:b/>
          <w:color w:val="FF0000"/>
          <w:lang w:val="en-US" w:eastAsia="zh-CN"/>
        </w:rPr>
        <w:t>温馨提示：</w:t>
      </w:r>
      <w:r>
        <w:rPr>
          <w:rFonts w:hint="eastAsia"/>
          <w:b/>
          <w:color w:val="FF0000"/>
        </w:rPr>
        <w:t>尚未在广西公共资源交易平台主体库入库的，请先参照本操作手册注册、完善主体信息的操作。</w:t>
      </w:r>
    </w:p>
    <w:p>
      <w:pPr>
        <w:pStyle w:val="2"/>
      </w:pPr>
    </w:p>
    <w:p>
      <w:pPr>
        <w:pStyle w:val="2"/>
      </w:pPr>
    </w:p>
    <w:p>
      <w:pPr>
        <w:pStyle w:val="3"/>
        <w:bidi w:val="0"/>
        <w:ind w:left="432" w:leftChars="0" w:hanging="432" w:firstLineChars="0"/>
      </w:pPr>
      <w:bookmarkStart w:id="36" w:name="_Toc16691"/>
      <w:r>
        <w:rPr>
          <w:rFonts w:hint="eastAsia"/>
          <w:lang w:val="en-US" w:eastAsia="zh-CN"/>
        </w:rPr>
        <w:t>权益类交易机构操作</w:t>
      </w:r>
      <w:bookmarkEnd w:id="36"/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37" w:name="_Toc1471"/>
      <w:bookmarkStart w:id="38" w:name="_Toc11913"/>
      <w:r>
        <w:rPr>
          <w:rFonts w:hint="eastAsia" w:ascii="宋体" w:hAnsi="宋体" w:eastAsia="宋体" w:cs="宋体"/>
          <w:sz w:val="21"/>
          <w:szCs w:val="21"/>
        </w:rPr>
        <w:t>项目登记</w:t>
      </w:r>
      <w:bookmarkEnd w:id="37"/>
      <w:bookmarkEnd w:id="38"/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点击“权益类交易-海域权交易-统一受理子系统-项目登记”，进入项目登记列表页面，如下图：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3131820"/>
            <wp:effectExtent l="0" t="0" r="2540" b="1143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3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点击【新建项目】，弹出新增项目页面，填写项目信息。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2987675"/>
            <wp:effectExtent l="0" t="0" r="2540" b="317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交易发生行政区域：电子监管系统审核的行政区域；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是否网上开标/竞标：区分是否网上挂牌、拍卖，是否全流程电子招标；</w:t>
      </w:r>
    </w:p>
    <w:p>
      <w:pPr>
        <w:pStyle w:val="12"/>
        <w:numPr>
          <w:ilvl w:val="0"/>
          <w:numId w:val="14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人工资格审查：包括无需资格审查、资格预审查和资格后审查：其中无需资格审查即无需对报名的资质进行审查，资格预审核在竞价前就是竞买人的报名的资质进行审查，资格后审核在竞价结束后对成交人的资格进行资格审核；</w:t>
      </w: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在海域权信息，点击【添加】，填写宗海信息。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694690"/>
            <wp:effectExtent l="0" t="0" r="2540" b="1016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5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出让方式选择挂牌、拍卖时，填写竞价规则。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71770" cy="894715"/>
            <wp:effectExtent l="0" t="0" r="5080" b="635"/>
            <wp:docPr id="3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7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89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</w:pPr>
      <w:r>
        <w:drawing>
          <wp:inline distT="0" distB="0" distL="0" distR="0">
            <wp:extent cx="5274310" cy="2526030"/>
            <wp:effectExtent l="0" t="0" r="2540" b="762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6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起始价：海域权起始报价；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是否设置底价：最终报价不低于保留底价才会成交，否则流标；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询问时长：达到拍卖/挂牌结束时间，进入询问期，确认询价则参与延时竞价；</w:t>
      </w:r>
    </w:p>
    <w:p>
      <w:pPr>
        <w:pStyle w:val="12"/>
        <w:numPr>
          <w:ilvl w:val="0"/>
          <w:numId w:val="15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延时周期：延时竞价有人报价则重新计时。</w:t>
      </w:r>
    </w:p>
    <w:p>
      <w:pPr>
        <w:pStyle w:val="12"/>
        <w:ind w:right="101" w:firstLine="0"/>
      </w:pPr>
    </w:p>
    <w:p>
      <w:pPr>
        <w:pStyle w:val="12"/>
        <w:numPr>
          <w:ilvl w:val="0"/>
          <w:numId w:val="1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信息填写完成，点击【提交审核】。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备注：目前提交后通过，审核流程可根据实际业务配置。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39" w:name="_Toc32293"/>
      <w:bookmarkStart w:id="40" w:name="_Toc21523"/>
      <w:r>
        <w:rPr>
          <w:rFonts w:hint="eastAsia" w:ascii="宋体" w:hAnsi="宋体" w:eastAsia="宋体" w:cs="宋体"/>
          <w:sz w:val="21"/>
          <w:szCs w:val="21"/>
        </w:rPr>
        <w:t>交易公告</w:t>
      </w:r>
      <w:bookmarkEnd w:id="39"/>
      <w:bookmarkEnd w:id="40"/>
    </w:p>
    <w:p>
      <w:pPr>
        <w:pStyle w:val="12"/>
        <w:numPr>
          <w:ilvl w:val="0"/>
          <w:numId w:val="1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点击海域权交易的工作台操作按钮，进入工作台页面。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2460625"/>
            <wp:effectExtent l="0" t="0" r="2540" b="1587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0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在工作台页面点击【交易公告】，填写完相应信息及公告内容，点击【修改保存】。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3406140"/>
            <wp:effectExtent l="0" t="0" r="2540" b="381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6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numPr>
          <w:ilvl w:val="0"/>
          <w:numId w:val="17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公告内容可自行编辑，提交后发布到门户网站群。</w:t>
      </w:r>
    </w:p>
    <w:p>
      <w:pPr>
        <w:pStyle w:val="12"/>
        <w:numPr>
          <w:ilvl w:val="0"/>
          <w:numId w:val="17"/>
        </w:numPr>
        <w:ind w:right="101" w:firstLine="420" w:firstLineChars="20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可在相关附件模块上传相关视频，公告发布后推送至门户网站群。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1" w:name="_Toc11817"/>
      <w:r>
        <w:rPr>
          <w:rFonts w:hint="eastAsia" w:ascii="宋体" w:hAnsi="宋体" w:eastAsia="宋体" w:cs="宋体"/>
          <w:sz w:val="21"/>
          <w:szCs w:val="21"/>
        </w:rPr>
        <w:t>变更公告</w:t>
      </w:r>
      <w:bookmarkEnd w:id="41"/>
    </w:p>
    <w:p>
      <w:pPr>
        <w:pStyle w:val="12"/>
        <w:numPr>
          <w:ilvl w:val="0"/>
          <w:numId w:val="1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在工作台页面点击【变更公告】，填写完相应信息及公告内容，点击【修改保存】。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3406140"/>
            <wp:effectExtent l="0" t="0" r="2540" b="381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2" w:name="_Toc20614"/>
      <w:r>
        <w:rPr>
          <w:rFonts w:hint="eastAsia" w:ascii="宋体" w:hAnsi="宋体" w:eastAsia="宋体" w:cs="宋体"/>
          <w:sz w:val="21"/>
          <w:szCs w:val="21"/>
        </w:rPr>
        <w:t>竞买须知</w:t>
      </w:r>
      <w:bookmarkEnd w:id="42"/>
    </w:p>
    <w:p>
      <w:pPr>
        <w:pStyle w:val="12"/>
        <w:numPr>
          <w:ilvl w:val="0"/>
          <w:numId w:val="1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在工作台页面点击【竞买须知】，填写完相应信息及内容，点击【修改保存】。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4150" cy="3480435"/>
            <wp:effectExtent l="0" t="0" r="12700" b="5715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9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48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19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3" w:name="_Toc26988"/>
      <w:bookmarkStart w:id="44" w:name="_Toc25950"/>
      <w:bookmarkStart w:id="45" w:name="_Hlk84669935"/>
      <w:r>
        <w:rPr>
          <w:rFonts w:hint="eastAsia" w:ascii="宋体" w:hAnsi="宋体" w:eastAsia="宋体" w:cs="宋体"/>
          <w:sz w:val="21"/>
          <w:szCs w:val="21"/>
        </w:rPr>
        <w:t>文件发布</w:t>
      </w:r>
      <w:bookmarkEnd w:id="43"/>
      <w:bookmarkEnd w:id="44"/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</w:rPr>
        <w:t>在工作台页面点击【文件发布】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67325" cy="2121535"/>
            <wp:effectExtent l="0" t="0" r="9525" b="12065"/>
            <wp:docPr id="3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0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0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bookmarkEnd w:id="45"/>
    <w:p>
      <w:pPr>
        <w:pStyle w:val="4"/>
        <w:spacing w:line="240" w:lineRule="auto"/>
        <w:ind w:left="431" w:hanging="431"/>
        <w:rPr>
          <w:rFonts w:ascii="宋体" w:hAnsi="宋体" w:eastAsia="宋体" w:cs="宋体"/>
          <w:sz w:val="21"/>
          <w:szCs w:val="21"/>
        </w:rPr>
      </w:pPr>
      <w:bookmarkStart w:id="46" w:name="_Toc12473"/>
      <w:bookmarkStart w:id="47" w:name="_Toc14715"/>
      <w:r>
        <w:rPr>
          <w:rFonts w:hint="eastAsia" w:ascii="宋体" w:hAnsi="宋体" w:eastAsia="宋体" w:cs="宋体"/>
          <w:sz w:val="21"/>
          <w:szCs w:val="21"/>
        </w:rPr>
        <w:t>资格审查</w:t>
      </w:r>
      <w:bookmarkEnd w:id="46"/>
      <w:bookmarkEnd w:id="47"/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</w:rPr>
        <w:t>在工作台页面点击【资格审查】</w:t>
      </w:r>
      <w:r>
        <w:rPr>
          <w:rFonts w:hint="eastAsia" w:ascii="宋体" w:hAnsi="宋体" w:eastAsia="宋体" w:cs="宋体"/>
          <w:sz w:val="21"/>
          <w:szCs w:val="21"/>
        </w:rPr>
        <w:t>进入页面。</w:t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89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3406140"/>
            <wp:effectExtent l="0" t="0" r="2540" b="381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进入【资格审查】，查看【报名相关资料】。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49755"/>
            <wp:effectExtent l="0" t="0" r="14605" b="17145"/>
            <wp:docPr id="90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7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4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若材料无误则点【资格审查通过】。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2245" cy="1897380"/>
            <wp:effectExtent l="0" t="0" r="14605" b="7620"/>
            <wp:docPr id="91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8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1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若材料有误退回，填写意见，点击【资格审查退回】。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9865" cy="1880870"/>
            <wp:effectExtent l="0" t="0" r="6985" b="5080"/>
            <wp:docPr id="9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9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8" w:name="_Toc12778"/>
      <w:r>
        <w:rPr>
          <w:rFonts w:hint="eastAsia" w:ascii="宋体" w:hAnsi="宋体" w:eastAsia="宋体" w:cs="宋体"/>
          <w:sz w:val="21"/>
          <w:szCs w:val="21"/>
        </w:rPr>
        <w:t>资格确认</w:t>
      </w:r>
      <w:bookmarkEnd w:id="48"/>
    </w:p>
    <w:p>
      <w:r>
        <w:rPr>
          <w:rFonts w:hint="eastAsia" w:ascii="宋体" w:hAnsi="宋体" w:eastAsia="宋体" w:cs="宋体"/>
          <w:szCs w:val="21"/>
        </w:rPr>
        <w:t>该功能实现纸质保函审核、临时保证金缴纳审核后获取竞买资格。</w:t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点击“权益类交易-海域权交易-统一受理子系统-项资格确认”，进入资格列表页面。</w:t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点击【未审核】，通过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180975" cy="200025"/>
            <wp:effectExtent l="0" t="0" r="9525" b="9525"/>
            <wp:docPr id="4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4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进入报名页面。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7960" cy="1418590"/>
            <wp:effectExtent l="0" t="0" r="8890" b="10160"/>
            <wp:docPr id="4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3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41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2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选择未审核的竞价人，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47650" cy="219075"/>
            <wp:effectExtent l="0" t="0" r="0" b="9525"/>
            <wp:docPr id="4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6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进入审核页面。点击【资格审查（保证金）】进行审查通过。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7800" cy="1953895"/>
            <wp:effectExtent l="0" t="0" r="0" b="8255"/>
            <wp:docPr id="5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1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49" w:name="_Toc3164"/>
      <w:bookmarkStart w:id="50" w:name="_Toc9274"/>
      <w:r>
        <w:rPr>
          <w:rFonts w:hint="eastAsia" w:ascii="宋体" w:hAnsi="宋体" w:eastAsia="宋体" w:cs="宋体"/>
          <w:sz w:val="21"/>
          <w:szCs w:val="21"/>
        </w:rPr>
        <w:t>设定竞价规则</w:t>
      </w:r>
      <w:bookmarkEnd w:id="49"/>
      <w:bookmarkEnd w:id="50"/>
    </w:p>
    <w:p>
      <w:pPr>
        <w:pStyle w:val="12"/>
        <w:numPr>
          <w:ilvl w:val="0"/>
          <w:numId w:val="23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</w:rPr>
        <w:t>在工作台页面点击【竞价规则】</w:t>
      </w:r>
      <w:r>
        <w:rPr>
          <w:rFonts w:hint="eastAsia" w:ascii="宋体" w:hAnsi="宋体" w:eastAsia="宋体" w:cs="宋体"/>
          <w:sz w:val="21"/>
          <w:szCs w:val="21"/>
        </w:rPr>
        <w:t>进入页面，项目登记已完成竞价规则设置。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3406140"/>
            <wp:effectExtent l="0" t="0" r="2540" b="381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1" w:name="_Toc19616"/>
      <w:bookmarkStart w:id="52" w:name="_Toc19192"/>
      <w:bookmarkStart w:id="53" w:name="_Toc8481"/>
      <w:r>
        <w:rPr>
          <w:rFonts w:hint="eastAsia" w:ascii="宋体" w:hAnsi="宋体" w:eastAsia="宋体" w:cs="宋体"/>
          <w:sz w:val="21"/>
          <w:szCs w:val="21"/>
        </w:rPr>
        <w:t>底价设置</w:t>
      </w:r>
      <w:bookmarkEnd w:id="51"/>
      <w:bookmarkEnd w:id="52"/>
    </w:p>
    <w:p>
      <w:pPr>
        <w:pStyle w:val="12"/>
        <w:numPr>
          <w:ilvl w:val="0"/>
          <w:numId w:val="24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在工作台页面点击【底价设置】进入页面，点击【添加保存】。挂牌开始到开始前30分钟允许设置底价，拍卖开始前30分钟允许设置底价。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58435" cy="1708785"/>
            <wp:effectExtent l="0" t="0" r="18415" b="5715"/>
            <wp:docPr id="5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4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170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4" w:name="_Toc24290"/>
      <w:r>
        <w:rPr>
          <w:rFonts w:hint="eastAsia" w:ascii="宋体" w:hAnsi="宋体" w:eastAsia="宋体" w:cs="宋体"/>
          <w:sz w:val="21"/>
          <w:szCs w:val="21"/>
        </w:rPr>
        <w:t>竞价控制</w:t>
      </w:r>
      <w:bookmarkEnd w:id="53"/>
      <w:bookmarkEnd w:id="54"/>
    </w:p>
    <w:p>
      <w:pPr>
        <w:rPr>
          <w:rFonts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出现异常情况，通过竞价控制对矿区进行暂停、恢复、终止操作。</w:t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点击“权益类交易-海域权交易-统一受理子系统-竞价控制”，进入竞价规则列表页面，点击</w:t>
      </w: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200025" cy="200025"/>
            <wp:effectExtent l="0" t="0" r="9525" b="9525"/>
            <wp:docPr id="9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1"/>
          <w:szCs w:val="21"/>
        </w:rPr>
        <w:t>进入竞价控制页面；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114300" distR="114300">
            <wp:extent cx="5271135" cy="3343910"/>
            <wp:effectExtent l="0" t="0" r="5715" b="8890"/>
            <wp:docPr id="5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3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通过【广播】发布信息。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133850" cy="809625"/>
            <wp:effectExtent l="0" t="0" r="0" b="9525"/>
            <wp:docPr id="97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3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4438650" cy="847725"/>
            <wp:effectExtent l="0" t="0" r="0" b="9525"/>
            <wp:docPr id="98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图片 34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5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通过【开始/暂停竞价】、【终止竞价】控制。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3675" cy="1216660"/>
            <wp:effectExtent l="0" t="0" r="3175" b="2540"/>
            <wp:docPr id="99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图片 35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5" w:name="_Toc10603"/>
      <w:r>
        <w:rPr>
          <w:rFonts w:hint="eastAsia" w:ascii="宋体" w:hAnsi="宋体" w:eastAsia="宋体" w:cs="宋体"/>
          <w:sz w:val="21"/>
          <w:szCs w:val="21"/>
        </w:rPr>
        <w:t>成交确认书</w:t>
      </w:r>
      <w:bookmarkEnd w:id="55"/>
    </w:p>
    <w:p>
      <w:pPr>
        <w:pStyle w:val="12"/>
        <w:numPr>
          <w:ilvl w:val="0"/>
          <w:numId w:val="26"/>
        </w:numPr>
        <w:ind w:right="101"/>
      </w:pPr>
      <w:r>
        <w:rPr>
          <w:rFonts w:hint="eastAsia" w:ascii="仿宋" w:hAnsi="仿宋" w:eastAsia="仿宋"/>
        </w:rPr>
        <w:t>在工作台页面点击【成交确认书】</w:t>
      </w:r>
      <w:r>
        <w:rPr>
          <w:rFonts w:hint="eastAsia" w:ascii="宋体" w:hAnsi="宋体" w:eastAsia="宋体" w:cs="宋体"/>
          <w:sz w:val="21"/>
          <w:szCs w:val="21"/>
        </w:rPr>
        <w:t>进入页面，上传确认书。推送给成交竞买人。</w:t>
      </w:r>
    </w:p>
    <w:p>
      <w:pPr>
        <w:pStyle w:val="12"/>
        <w:ind w:right="101" w:firstLine="0"/>
      </w:pPr>
      <w:r>
        <w:drawing>
          <wp:inline distT="0" distB="0" distL="114300" distR="114300">
            <wp:extent cx="5267325" cy="2420620"/>
            <wp:effectExtent l="0" t="0" r="9525" b="17780"/>
            <wp:docPr id="5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5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6" w:name="_Toc6865"/>
      <w:r>
        <w:rPr>
          <w:rFonts w:hint="eastAsia" w:ascii="宋体" w:hAnsi="宋体" w:eastAsia="宋体" w:cs="宋体"/>
          <w:sz w:val="21"/>
          <w:szCs w:val="21"/>
        </w:rPr>
        <w:t>结果公示</w:t>
      </w:r>
      <w:bookmarkEnd w:id="56"/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</w:rPr>
        <w:t>在工作台页面点击【成交公告】</w:t>
      </w:r>
      <w:r>
        <w:rPr>
          <w:rFonts w:hint="eastAsia" w:ascii="宋体" w:hAnsi="宋体" w:eastAsia="宋体" w:cs="宋体"/>
          <w:sz w:val="21"/>
          <w:szCs w:val="21"/>
        </w:rPr>
        <w:t>进入页面，填写信息。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1135" cy="2217420"/>
            <wp:effectExtent l="0" t="0" r="5715" b="11430"/>
            <wp:docPr id="101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37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信息填写完成，若有中标人的则选择中标人。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6055" cy="748665"/>
            <wp:effectExtent l="0" t="0" r="10795" b="13335"/>
            <wp:docPr id="102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图片 38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4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68595" cy="772160"/>
            <wp:effectExtent l="0" t="0" r="8255" b="8890"/>
            <wp:docPr id="103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图片 39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若无报价或者报价不超过底价，则无需选择，发起流标即可。</w:t>
      </w:r>
    </w:p>
    <w:p>
      <w:pPr>
        <w:pStyle w:val="12"/>
        <w:numPr>
          <w:ilvl w:val="0"/>
          <w:numId w:val="27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信息填写完成，点击【添加保存】。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备注：目前提交后通过，流程可根据实际业务配置。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</w:p>
    <w:p>
      <w:pPr>
        <w:pStyle w:val="4"/>
        <w:rPr>
          <w:rFonts w:ascii="宋体" w:hAnsi="宋体" w:eastAsia="宋体" w:cs="宋体"/>
          <w:sz w:val="21"/>
          <w:szCs w:val="21"/>
        </w:rPr>
      </w:pPr>
      <w:bookmarkStart w:id="57" w:name="_Toc3262"/>
      <w:bookmarkStart w:id="58" w:name="_Toc5331"/>
      <w:r>
        <w:rPr>
          <w:rFonts w:hint="eastAsia" w:ascii="宋体" w:hAnsi="宋体" w:eastAsia="宋体" w:cs="宋体"/>
          <w:sz w:val="21"/>
          <w:szCs w:val="21"/>
        </w:rPr>
        <w:t>成交通知书</w:t>
      </w:r>
      <w:bookmarkEnd w:id="57"/>
      <w:bookmarkEnd w:id="58"/>
    </w:p>
    <w:p>
      <w:pPr>
        <w:pStyle w:val="12"/>
        <w:numPr>
          <w:ilvl w:val="0"/>
          <w:numId w:val="28"/>
        </w:numPr>
        <w:ind w:right="101"/>
        <w:rPr>
          <w:rFonts w:ascii="宋体" w:hAnsi="宋体" w:eastAsia="宋体" w:cs="宋体"/>
          <w:sz w:val="21"/>
          <w:szCs w:val="21"/>
        </w:rPr>
      </w:pPr>
      <w:r>
        <w:rPr>
          <w:rFonts w:hint="eastAsia" w:ascii="仿宋" w:hAnsi="仿宋" w:eastAsia="仿宋"/>
        </w:rPr>
        <w:t>在工作台页面点击【成交通知书】</w:t>
      </w:r>
      <w:r>
        <w:rPr>
          <w:rFonts w:hint="eastAsia" w:ascii="宋体" w:hAnsi="宋体" w:eastAsia="宋体" w:cs="宋体"/>
          <w:sz w:val="21"/>
          <w:szCs w:val="21"/>
        </w:rPr>
        <w:t>进入页面。</w:t>
      </w:r>
    </w:p>
    <w:p>
      <w:pPr>
        <w:pStyle w:val="12"/>
        <w:ind w:right="101" w:firstLine="0"/>
        <w:rPr>
          <w:rFonts w:ascii="宋体" w:hAnsi="宋体" w:eastAsia="宋体" w:cs="宋体"/>
          <w:sz w:val="21"/>
          <w:szCs w:val="21"/>
        </w:rPr>
      </w:pPr>
      <w:r>
        <w:drawing>
          <wp:inline distT="0" distB="0" distL="0" distR="0">
            <wp:extent cx="5274310" cy="2520950"/>
            <wp:effectExtent l="0" t="0" r="2540" b="1270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2"/>
        <w:ind w:right="101" w:firstLine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信息填写完成，点击【提交信息】。目前竞价结束，有成交的话自动发起成交通过书。</w:t>
      </w:r>
    </w:p>
    <w:p>
      <w:pPr>
        <w:pStyle w:val="3"/>
        <w:bidi w:val="0"/>
        <w:ind w:left="432" w:leftChars="0" w:hanging="432" w:firstLineChars="0"/>
      </w:pPr>
      <w:bookmarkStart w:id="59" w:name="_Toc14494"/>
      <w:r>
        <w:rPr>
          <w:rFonts w:hint="eastAsia"/>
          <w:lang w:val="en-US" w:eastAsia="zh-CN"/>
        </w:rPr>
        <w:t>常见问题解答</w:t>
      </w:r>
      <w:bookmarkEnd w:id="59"/>
    </w:p>
    <w:p>
      <w:pPr>
        <w:numPr>
          <w:ilvl w:val="0"/>
          <w:numId w:val="29"/>
        </w:numPr>
        <w:bidi w:val="0"/>
        <w:ind w:left="425" w:leftChars="0" w:hanging="425" w:firstLineChars="0"/>
        <w:outlineLvl w:val="1"/>
        <w:rPr>
          <w:rFonts w:hint="eastAsia"/>
          <w:b/>
          <w:bCs/>
        </w:rPr>
      </w:pPr>
      <w:bookmarkStart w:id="60" w:name="_Toc25204"/>
      <w:bookmarkStart w:id="61" w:name="_Toc22768"/>
      <w:bookmarkStart w:id="62" w:name="_Toc2194"/>
      <w:r>
        <w:rPr>
          <w:rFonts w:hint="eastAsia"/>
          <w:b/>
          <w:bCs/>
          <w:lang w:val="en-US" w:eastAsia="zh-CN"/>
        </w:rPr>
        <w:t>常见问题：系统对浏览器有什么要求？</w:t>
      </w:r>
      <w:bookmarkEnd w:id="60"/>
      <w:bookmarkEnd w:id="61"/>
      <w:bookmarkEnd w:id="62"/>
    </w:p>
    <w:p>
      <w:pPr>
        <w:rPr>
          <w:rFonts w:hint="default"/>
          <w:lang w:val="en-US"/>
        </w:rPr>
      </w:pPr>
      <w:r>
        <w:rPr>
          <w:rFonts w:hint="eastAsia"/>
          <w:lang w:val="en-US" w:eastAsia="zh-CN"/>
        </w:rPr>
        <w:t>回答：建议使用Interner Explorer（即IE） 浏览器，版本为IE 11及以上版本，IE浏览器图标长如所示。</w:t>
      </w:r>
    </w:p>
    <w:p>
      <w:pPr>
        <w:pStyle w:val="2"/>
      </w:pPr>
      <w:r>
        <w:drawing>
          <wp:inline distT="0" distB="0" distL="114300" distR="114300">
            <wp:extent cx="1866900" cy="333375"/>
            <wp:effectExtent l="0" t="0" r="0" b="9525"/>
            <wp:docPr id="114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图片 40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0"/>
        </w:numPr>
        <w:bidi w:val="0"/>
        <w:ind w:left="425" w:leftChars="0" w:hanging="425" w:firstLineChars="0"/>
        <w:outlineLvl w:val="1"/>
        <w:rPr>
          <w:rFonts w:hint="eastAsia"/>
          <w:b/>
          <w:bCs/>
          <w:lang w:val="en-US" w:eastAsia="zh-CN"/>
        </w:rPr>
      </w:pPr>
      <w:bookmarkStart w:id="63" w:name="_Toc5136"/>
      <w:bookmarkStart w:id="64" w:name="_Toc14459"/>
      <w:bookmarkStart w:id="65" w:name="_Toc1340"/>
      <w:r>
        <w:rPr>
          <w:rFonts w:hint="eastAsia"/>
          <w:b/>
          <w:bCs/>
          <w:lang w:val="en-US" w:eastAsia="zh-CN"/>
        </w:rPr>
        <w:t>常见问题：如何注册，新增项目登记？</w:t>
      </w:r>
      <w:bookmarkEnd w:id="63"/>
      <w:bookmarkEnd w:id="64"/>
      <w:bookmarkEnd w:id="65"/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回答：先在平台系统注册，注册后办理CA锁，然后完善信息、业务类型添加权益类交易机构。注册详见本手册《系统注册、登录》内容。CA办理详见本手册《CA锁办理和激活》内容。完善信息、业务类型添加详见本手册《完善主体库资料》内容。</w:t>
      </w:r>
    </w:p>
    <w:p>
      <w:pPr>
        <w:pStyle w:val="2"/>
        <w:rPr>
          <w:rFonts w:hint="default"/>
          <w:lang w:val="en-US"/>
        </w:rPr>
      </w:pPr>
    </w:p>
    <w:p>
      <w:pPr>
        <w:numPr>
          <w:ilvl w:val="0"/>
          <w:numId w:val="30"/>
        </w:numPr>
        <w:bidi w:val="0"/>
        <w:ind w:left="425" w:leftChars="0" w:hanging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常见问题：权益类交易机构新增项目等提示“不具备权益类交易机构业务类型，请在主体库信息业务类型添加权益类交易机构。”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回答：然后完善信息、业务类型添加权益类交易机构。CA办理详见本手册《CA锁办理和激活》内容。完善信息、业务类型添加详见本手册《完善主体库资料》内容。</w:t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P56+UsAgAAVw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g/nr5S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svHiUtAgAAV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HsvHiU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ind w:firstLine="360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</w:pPr>
    <w:r>
      <w:rPr>
        <w:rFonts w:hint="eastAsia"/>
      </w:rPr>
      <w:t>权益类交易子系统（</w:t>
    </w:r>
    <w:r>
      <w:rPr>
        <w:rFonts w:hint="eastAsia"/>
        <w:lang w:eastAsia="zh-CN"/>
      </w:rPr>
      <w:t>海域权</w:t>
    </w:r>
    <w:r>
      <w:rPr>
        <w:rFonts w:hint="eastAsia"/>
      </w:rPr>
      <w:t>）-</w:t>
    </w:r>
    <w:r>
      <w:rPr>
        <w:rFonts w:hint="eastAsia"/>
        <w:lang w:eastAsia="zh-CN"/>
      </w:rPr>
      <w:t>权益类交易机构</w:t>
    </w:r>
    <w:r>
      <w:rPr>
        <w:rFonts w:hint="eastAsia"/>
      </w:rPr>
      <w:t>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7B3FEA"/>
    <w:multiLevelType w:val="singleLevel"/>
    <w:tmpl w:val="807B3FE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84E21174"/>
    <w:multiLevelType w:val="singleLevel"/>
    <w:tmpl w:val="84E2117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8851638E"/>
    <w:multiLevelType w:val="singleLevel"/>
    <w:tmpl w:val="8851638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3">
    <w:nsid w:val="96C8DEA1"/>
    <w:multiLevelType w:val="singleLevel"/>
    <w:tmpl w:val="96C8DEA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A277BA50"/>
    <w:multiLevelType w:val="singleLevel"/>
    <w:tmpl w:val="A277BA50"/>
    <w:lvl w:ilvl="0" w:tentative="0">
      <w:start w:val="4"/>
      <w:numFmt w:val="decimal"/>
      <w:suff w:val="nothing"/>
      <w:lvlText w:val="%1、"/>
      <w:lvlJc w:val="left"/>
    </w:lvl>
  </w:abstractNum>
  <w:abstractNum w:abstractNumId="5">
    <w:nsid w:val="A618C881"/>
    <w:multiLevelType w:val="multilevel"/>
    <w:tmpl w:val="A618C881"/>
    <w:lvl w:ilvl="0" w:tentative="0">
      <w:start w:val="1"/>
      <w:numFmt w:val="chineseCounting"/>
      <w:pStyle w:val="3"/>
      <w:lvlText w:val="%1."/>
      <w:lvlJc w:val="left"/>
      <w:pPr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4"/>
      <w:lvlText w:val="%2."/>
      <w:lvlJc w:val="left"/>
      <w:pPr>
        <w:ind w:left="575" w:hanging="575"/>
      </w:pPr>
      <w:rPr>
        <w:rFonts w:hint="eastAsia" w:ascii="宋体" w:hAnsi="宋体" w:eastAsia="宋体" w:cs="宋体"/>
      </w:rPr>
    </w:lvl>
    <w:lvl w:ilvl="2" w:tentative="0">
      <w:start w:val="1"/>
      <w:numFmt w:val="decimal"/>
      <w:pStyle w:val="5"/>
      <w:lvlText w:val="%2.%3."/>
      <w:lvlJc w:val="left"/>
      <w:pPr>
        <w:ind w:left="720" w:hanging="720"/>
      </w:pPr>
      <w:rPr>
        <w:rFonts w:hint="eastAsia" w:ascii="宋体" w:hAnsi="宋体" w:eastAsia="宋体" w:cs="宋体"/>
      </w:rPr>
    </w:lvl>
    <w:lvl w:ilvl="3" w:tentative="0">
      <w:start w:val="1"/>
      <w:numFmt w:val="decimal"/>
      <w:pStyle w:val="6"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7"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8"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9"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6">
    <w:nsid w:val="A8C17E4B"/>
    <w:multiLevelType w:val="singleLevel"/>
    <w:tmpl w:val="A8C17E4B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BB64BDDD"/>
    <w:multiLevelType w:val="singleLevel"/>
    <w:tmpl w:val="BB64BDD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C5895578"/>
    <w:multiLevelType w:val="singleLevel"/>
    <w:tmpl w:val="C589557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9">
    <w:nsid w:val="CEF2C255"/>
    <w:multiLevelType w:val="singleLevel"/>
    <w:tmpl w:val="CEF2C25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0">
    <w:nsid w:val="D4D3686E"/>
    <w:multiLevelType w:val="singleLevel"/>
    <w:tmpl w:val="D4D3686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1">
    <w:nsid w:val="D5021294"/>
    <w:multiLevelType w:val="singleLevel"/>
    <w:tmpl w:val="D502129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2">
    <w:nsid w:val="D7EC26B7"/>
    <w:multiLevelType w:val="multilevel"/>
    <w:tmpl w:val="D7EC26B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1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13">
    <w:nsid w:val="DAFC22D1"/>
    <w:multiLevelType w:val="singleLevel"/>
    <w:tmpl w:val="DAFC22D1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4">
    <w:nsid w:val="EF658EB7"/>
    <w:multiLevelType w:val="singleLevel"/>
    <w:tmpl w:val="EF658EB7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15">
    <w:nsid w:val="01E724DE"/>
    <w:multiLevelType w:val="singleLevel"/>
    <w:tmpl w:val="01E724DE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6">
    <w:nsid w:val="0430F8E8"/>
    <w:multiLevelType w:val="singleLevel"/>
    <w:tmpl w:val="0430F8E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7">
    <w:nsid w:val="1E3A40FC"/>
    <w:multiLevelType w:val="singleLevel"/>
    <w:tmpl w:val="1E3A40FC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8">
    <w:nsid w:val="20244CC9"/>
    <w:multiLevelType w:val="singleLevel"/>
    <w:tmpl w:val="20244CC9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9">
    <w:nsid w:val="316FA865"/>
    <w:multiLevelType w:val="singleLevel"/>
    <w:tmpl w:val="316FA86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0">
    <w:nsid w:val="3BFC8BAE"/>
    <w:multiLevelType w:val="singleLevel"/>
    <w:tmpl w:val="3BFC8BA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1">
    <w:nsid w:val="42978226"/>
    <w:multiLevelType w:val="singleLevel"/>
    <w:tmpl w:val="42978226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2">
    <w:nsid w:val="44340850"/>
    <w:multiLevelType w:val="singleLevel"/>
    <w:tmpl w:val="4434085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3">
    <w:nsid w:val="520978DC"/>
    <w:multiLevelType w:val="singleLevel"/>
    <w:tmpl w:val="520978DC"/>
    <w:lvl w:ilvl="0" w:tentative="0">
      <w:start w:val="1"/>
      <w:numFmt w:val="decimal"/>
      <w:lvlText w:val="(%1)"/>
      <w:lvlJc w:val="left"/>
      <w:pPr>
        <w:ind w:left="1055" w:hanging="425"/>
      </w:pPr>
      <w:rPr>
        <w:rFonts w:hint="default"/>
      </w:rPr>
    </w:lvl>
  </w:abstractNum>
  <w:abstractNum w:abstractNumId="24">
    <w:nsid w:val="551D42A4"/>
    <w:multiLevelType w:val="singleLevel"/>
    <w:tmpl w:val="551D42A4"/>
    <w:lvl w:ilvl="0" w:tentative="0">
      <w:start w:val="1"/>
      <w:numFmt w:val="decimal"/>
      <w:lvlText w:val="%1、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25">
    <w:nsid w:val="5C05FEE1"/>
    <w:multiLevelType w:val="singleLevel"/>
    <w:tmpl w:val="5C05FEE1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6">
    <w:nsid w:val="5D4E36A8"/>
    <w:multiLevelType w:val="singleLevel"/>
    <w:tmpl w:val="5D4E36A8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7">
    <w:nsid w:val="60784A9E"/>
    <w:multiLevelType w:val="singleLevel"/>
    <w:tmpl w:val="60784A9E"/>
    <w:lvl w:ilvl="0" w:tentative="0">
      <w:start w:val="1"/>
      <w:numFmt w:val="decimal"/>
      <w:suff w:val="nothing"/>
      <w:lvlText w:val="%1、"/>
      <w:lvlJc w:val="left"/>
      <w:pPr>
        <w:ind w:left="0" w:firstLine="403"/>
      </w:pPr>
      <w:rPr>
        <w:rFonts w:hint="default"/>
      </w:rPr>
    </w:lvl>
  </w:abstractNum>
  <w:abstractNum w:abstractNumId="28">
    <w:nsid w:val="6C61F60A"/>
    <w:multiLevelType w:val="singleLevel"/>
    <w:tmpl w:val="6C61F60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9">
    <w:nsid w:val="6E5B8BD3"/>
    <w:multiLevelType w:val="singleLevel"/>
    <w:tmpl w:val="6E5B8BD3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2"/>
  </w:num>
  <w:num w:numId="5">
    <w:abstractNumId w:val="24"/>
  </w:num>
  <w:num w:numId="6">
    <w:abstractNumId w:val="11"/>
  </w:num>
  <w:num w:numId="7">
    <w:abstractNumId w:val="14"/>
  </w:num>
  <w:num w:numId="8">
    <w:abstractNumId w:val="10"/>
  </w:num>
  <w:num w:numId="9">
    <w:abstractNumId w:val="1"/>
  </w:num>
  <w:num w:numId="10">
    <w:abstractNumId w:val="25"/>
  </w:num>
  <w:num w:numId="11">
    <w:abstractNumId w:val="27"/>
  </w:num>
  <w:num w:numId="12">
    <w:abstractNumId w:val="23"/>
  </w:num>
  <w:num w:numId="13">
    <w:abstractNumId w:val="19"/>
  </w:num>
  <w:num w:numId="14">
    <w:abstractNumId w:val="28"/>
  </w:num>
  <w:num w:numId="15">
    <w:abstractNumId w:val="20"/>
  </w:num>
  <w:num w:numId="16">
    <w:abstractNumId w:val="8"/>
  </w:num>
  <w:num w:numId="17">
    <w:abstractNumId w:val="13"/>
  </w:num>
  <w:num w:numId="18">
    <w:abstractNumId w:val="21"/>
  </w:num>
  <w:num w:numId="19">
    <w:abstractNumId w:val="29"/>
  </w:num>
  <w:num w:numId="20">
    <w:abstractNumId w:val="18"/>
  </w:num>
  <w:num w:numId="21">
    <w:abstractNumId w:val="7"/>
  </w:num>
  <w:num w:numId="22">
    <w:abstractNumId w:val="2"/>
  </w:num>
  <w:num w:numId="23">
    <w:abstractNumId w:val="9"/>
  </w:num>
  <w:num w:numId="24">
    <w:abstractNumId w:val="26"/>
  </w:num>
  <w:num w:numId="25">
    <w:abstractNumId w:val="17"/>
  </w:num>
  <w:num w:numId="26">
    <w:abstractNumId w:val="16"/>
  </w:num>
  <w:num w:numId="27">
    <w:abstractNumId w:val="3"/>
  </w:num>
  <w:num w:numId="28">
    <w:abstractNumId w:val="15"/>
  </w:num>
  <w:num w:numId="29">
    <w:abstractNumId w:val="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701B4C"/>
    <w:rsid w:val="000010BB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94D"/>
    <w:rsid w:val="00024D13"/>
    <w:rsid w:val="00027EE3"/>
    <w:rsid w:val="00034730"/>
    <w:rsid w:val="00034B1D"/>
    <w:rsid w:val="0004466A"/>
    <w:rsid w:val="00045A6B"/>
    <w:rsid w:val="00046C4A"/>
    <w:rsid w:val="00047FD7"/>
    <w:rsid w:val="00056EA9"/>
    <w:rsid w:val="00076345"/>
    <w:rsid w:val="00076C94"/>
    <w:rsid w:val="00081E86"/>
    <w:rsid w:val="0008408A"/>
    <w:rsid w:val="0008495B"/>
    <w:rsid w:val="00093CEC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7C34"/>
    <w:rsid w:val="000F0CF8"/>
    <w:rsid w:val="000F18ED"/>
    <w:rsid w:val="000F25D2"/>
    <w:rsid w:val="000F502C"/>
    <w:rsid w:val="0010470C"/>
    <w:rsid w:val="00104BA0"/>
    <w:rsid w:val="00106D7D"/>
    <w:rsid w:val="001070B5"/>
    <w:rsid w:val="00110F25"/>
    <w:rsid w:val="00125356"/>
    <w:rsid w:val="001261B2"/>
    <w:rsid w:val="0013509E"/>
    <w:rsid w:val="001431E5"/>
    <w:rsid w:val="00143671"/>
    <w:rsid w:val="0015053B"/>
    <w:rsid w:val="00153FB3"/>
    <w:rsid w:val="00157535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1F2337"/>
    <w:rsid w:val="00200539"/>
    <w:rsid w:val="00202098"/>
    <w:rsid w:val="00204746"/>
    <w:rsid w:val="00204957"/>
    <w:rsid w:val="00205D6D"/>
    <w:rsid w:val="00206478"/>
    <w:rsid w:val="002066A4"/>
    <w:rsid w:val="00212E35"/>
    <w:rsid w:val="0022003E"/>
    <w:rsid w:val="00221634"/>
    <w:rsid w:val="00225121"/>
    <w:rsid w:val="00232C87"/>
    <w:rsid w:val="002347FC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96F63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0223F"/>
    <w:rsid w:val="00310959"/>
    <w:rsid w:val="00310F03"/>
    <w:rsid w:val="0031779E"/>
    <w:rsid w:val="0033017A"/>
    <w:rsid w:val="00332F8A"/>
    <w:rsid w:val="00333F88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2BA7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23D1"/>
    <w:rsid w:val="0040515F"/>
    <w:rsid w:val="00407B29"/>
    <w:rsid w:val="00415587"/>
    <w:rsid w:val="00417916"/>
    <w:rsid w:val="004211B5"/>
    <w:rsid w:val="00430FDA"/>
    <w:rsid w:val="0043372D"/>
    <w:rsid w:val="004538BD"/>
    <w:rsid w:val="004566AA"/>
    <w:rsid w:val="00456759"/>
    <w:rsid w:val="0046006D"/>
    <w:rsid w:val="00460E5A"/>
    <w:rsid w:val="00465E21"/>
    <w:rsid w:val="0047467A"/>
    <w:rsid w:val="00475ABC"/>
    <w:rsid w:val="00480516"/>
    <w:rsid w:val="00480683"/>
    <w:rsid w:val="0048420B"/>
    <w:rsid w:val="00492208"/>
    <w:rsid w:val="0049517F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4F580F"/>
    <w:rsid w:val="00507ED4"/>
    <w:rsid w:val="00514701"/>
    <w:rsid w:val="005274A7"/>
    <w:rsid w:val="005410D8"/>
    <w:rsid w:val="00541167"/>
    <w:rsid w:val="00557B24"/>
    <w:rsid w:val="005617E9"/>
    <w:rsid w:val="00562142"/>
    <w:rsid w:val="00562766"/>
    <w:rsid w:val="00562CCD"/>
    <w:rsid w:val="00564778"/>
    <w:rsid w:val="00565653"/>
    <w:rsid w:val="00572EB8"/>
    <w:rsid w:val="00577DC9"/>
    <w:rsid w:val="00580117"/>
    <w:rsid w:val="00580F02"/>
    <w:rsid w:val="005A292D"/>
    <w:rsid w:val="005B05DC"/>
    <w:rsid w:val="005D1043"/>
    <w:rsid w:val="005D73E0"/>
    <w:rsid w:val="005E0BA3"/>
    <w:rsid w:val="005F7B44"/>
    <w:rsid w:val="00605FCB"/>
    <w:rsid w:val="00613C93"/>
    <w:rsid w:val="006156B3"/>
    <w:rsid w:val="00615BEA"/>
    <w:rsid w:val="00623156"/>
    <w:rsid w:val="00633C14"/>
    <w:rsid w:val="00645640"/>
    <w:rsid w:val="006479BE"/>
    <w:rsid w:val="00652C66"/>
    <w:rsid w:val="0066059A"/>
    <w:rsid w:val="00660FAC"/>
    <w:rsid w:val="0066139A"/>
    <w:rsid w:val="00663271"/>
    <w:rsid w:val="006639C3"/>
    <w:rsid w:val="0066538F"/>
    <w:rsid w:val="00670DC4"/>
    <w:rsid w:val="00675ED0"/>
    <w:rsid w:val="00676CF7"/>
    <w:rsid w:val="00680192"/>
    <w:rsid w:val="0068474D"/>
    <w:rsid w:val="00696264"/>
    <w:rsid w:val="006A0433"/>
    <w:rsid w:val="006A3259"/>
    <w:rsid w:val="006A406F"/>
    <w:rsid w:val="006A5E45"/>
    <w:rsid w:val="006A6621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0EF9"/>
    <w:rsid w:val="00712678"/>
    <w:rsid w:val="00715253"/>
    <w:rsid w:val="00717173"/>
    <w:rsid w:val="007217F7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32AC"/>
    <w:rsid w:val="0078469F"/>
    <w:rsid w:val="0079082C"/>
    <w:rsid w:val="00792B99"/>
    <w:rsid w:val="007A49AD"/>
    <w:rsid w:val="007A5CAF"/>
    <w:rsid w:val="007C381C"/>
    <w:rsid w:val="007C6FBF"/>
    <w:rsid w:val="007C7FA9"/>
    <w:rsid w:val="007D2B64"/>
    <w:rsid w:val="007D4B93"/>
    <w:rsid w:val="007D6C29"/>
    <w:rsid w:val="007E0C77"/>
    <w:rsid w:val="007E101A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0E66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5875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9246D"/>
    <w:rsid w:val="008A24EB"/>
    <w:rsid w:val="008A636E"/>
    <w:rsid w:val="008B23FE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2C1E"/>
    <w:rsid w:val="0091634A"/>
    <w:rsid w:val="00916CC8"/>
    <w:rsid w:val="00922EB2"/>
    <w:rsid w:val="0092731A"/>
    <w:rsid w:val="00932902"/>
    <w:rsid w:val="00932B4B"/>
    <w:rsid w:val="00933762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76D23"/>
    <w:rsid w:val="009807C3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E99"/>
    <w:rsid w:val="009F2F77"/>
    <w:rsid w:val="009F64B8"/>
    <w:rsid w:val="00A02351"/>
    <w:rsid w:val="00A05606"/>
    <w:rsid w:val="00A07D07"/>
    <w:rsid w:val="00A15853"/>
    <w:rsid w:val="00A16A38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04D9"/>
    <w:rsid w:val="00A9137F"/>
    <w:rsid w:val="00A96DE7"/>
    <w:rsid w:val="00AA205B"/>
    <w:rsid w:val="00AA320B"/>
    <w:rsid w:val="00AA3D34"/>
    <w:rsid w:val="00AA6BEC"/>
    <w:rsid w:val="00AB0AD7"/>
    <w:rsid w:val="00AB194F"/>
    <w:rsid w:val="00AB3D46"/>
    <w:rsid w:val="00AB7905"/>
    <w:rsid w:val="00AC1F93"/>
    <w:rsid w:val="00AC4366"/>
    <w:rsid w:val="00AD29E3"/>
    <w:rsid w:val="00AE14C6"/>
    <w:rsid w:val="00AE26C5"/>
    <w:rsid w:val="00AE3A19"/>
    <w:rsid w:val="00AF09DC"/>
    <w:rsid w:val="00AF6D13"/>
    <w:rsid w:val="00B008EF"/>
    <w:rsid w:val="00B05707"/>
    <w:rsid w:val="00B0644B"/>
    <w:rsid w:val="00B161CB"/>
    <w:rsid w:val="00B16C6B"/>
    <w:rsid w:val="00B17F48"/>
    <w:rsid w:val="00B22EDC"/>
    <w:rsid w:val="00B259B7"/>
    <w:rsid w:val="00B326A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B0A"/>
    <w:rsid w:val="00B77A38"/>
    <w:rsid w:val="00B855A4"/>
    <w:rsid w:val="00B8580A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258B"/>
    <w:rsid w:val="00C45C3B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66CA8"/>
    <w:rsid w:val="00C72D93"/>
    <w:rsid w:val="00C775C3"/>
    <w:rsid w:val="00C825AB"/>
    <w:rsid w:val="00C861BE"/>
    <w:rsid w:val="00C9058A"/>
    <w:rsid w:val="00C90681"/>
    <w:rsid w:val="00C970BF"/>
    <w:rsid w:val="00CA4B36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156FC"/>
    <w:rsid w:val="00D15D48"/>
    <w:rsid w:val="00D16453"/>
    <w:rsid w:val="00D2634E"/>
    <w:rsid w:val="00D27282"/>
    <w:rsid w:val="00D31698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0C95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BCE"/>
    <w:rsid w:val="00E62D74"/>
    <w:rsid w:val="00E70977"/>
    <w:rsid w:val="00E71428"/>
    <w:rsid w:val="00E842FC"/>
    <w:rsid w:val="00E92892"/>
    <w:rsid w:val="00EA1CA8"/>
    <w:rsid w:val="00EA3606"/>
    <w:rsid w:val="00EA5893"/>
    <w:rsid w:val="00EA743C"/>
    <w:rsid w:val="00EB1946"/>
    <w:rsid w:val="00EB2404"/>
    <w:rsid w:val="00EB48AB"/>
    <w:rsid w:val="00EC09A7"/>
    <w:rsid w:val="00EC21EC"/>
    <w:rsid w:val="00EC2CF0"/>
    <w:rsid w:val="00EC731D"/>
    <w:rsid w:val="00EC7D5E"/>
    <w:rsid w:val="00ED4D39"/>
    <w:rsid w:val="00EE6438"/>
    <w:rsid w:val="00EF08C2"/>
    <w:rsid w:val="00EF0F47"/>
    <w:rsid w:val="00EF6165"/>
    <w:rsid w:val="00F10043"/>
    <w:rsid w:val="00F10D40"/>
    <w:rsid w:val="00F10E71"/>
    <w:rsid w:val="00F1262C"/>
    <w:rsid w:val="00F12B83"/>
    <w:rsid w:val="00F16BF1"/>
    <w:rsid w:val="00F22FFB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C5740"/>
    <w:rsid w:val="00FC5D61"/>
    <w:rsid w:val="00FD18CB"/>
    <w:rsid w:val="00FD7EBA"/>
    <w:rsid w:val="00FE0A92"/>
    <w:rsid w:val="00FF58E5"/>
    <w:rsid w:val="01112F48"/>
    <w:rsid w:val="016136FA"/>
    <w:rsid w:val="01B62B62"/>
    <w:rsid w:val="02C3032D"/>
    <w:rsid w:val="03A45C28"/>
    <w:rsid w:val="03A6704A"/>
    <w:rsid w:val="045371AC"/>
    <w:rsid w:val="05133101"/>
    <w:rsid w:val="05A7401B"/>
    <w:rsid w:val="05D23C5F"/>
    <w:rsid w:val="063D01BE"/>
    <w:rsid w:val="069536E4"/>
    <w:rsid w:val="099E22E5"/>
    <w:rsid w:val="0D206DB0"/>
    <w:rsid w:val="0D8F3238"/>
    <w:rsid w:val="0E2A2986"/>
    <w:rsid w:val="0E6652FE"/>
    <w:rsid w:val="0EEE0B3F"/>
    <w:rsid w:val="0F7A5AF8"/>
    <w:rsid w:val="0FBA3780"/>
    <w:rsid w:val="0FC6770E"/>
    <w:rsid w:val="109A6292"/>
    <w:rsid w:val="11A54516"/>
    <w:rsid w:val="11ED2B2D"/>
    <w:rsid w:val="121C7A3C"/>
    <w:rsid w:val="12320C67"/>
    <w:rsid w:val="13DE7D1A"/>
    <w:rsid w:val="14CB51BC"/>
    <w:rsid w:val="156449F9"/>
    <w:rsid w:val="1568101A"/>
    <w:rsid w:val="15834340"/>
    <w:rsid w:val="1831750C"/>
    <w:rsid w:val="18C33C7D"/>
    <w:rsid w:val="196A43EF"/>
    <w:rsid w:val="19EE042A"/>
    <w:rsid w:val="1BD82764"/>
    <w:rsid w:val="1D501249"/>
    <w:rsid w:val="1D8C764F"/>
    <w:rsid w:val="1DAB4610"/>
    <w:rsid w:val="1EC05239"/>
    <w:rsid w:val="20606E6A"/>
    <w:rsid w:val="215707E8"/>
    <w:rsid w:val="220C30CB"/>
    <w:rsid w:val="221C753A"/>
    <w:rsid w:val="23E80DF5"/>
    <w:rsid w:val="24034D2A"/>
    <w:rsid w:val="24CD1023"/>
    <w:rsid w:val="24D11562"/>
    <w:rsid w:val="24D20739"/>
    <w:rsid w:val="275622A4"/>
    <w:rsid w:val="27BD703F"/>
    <w:rsid w:val="28F1492F"/>
    <w:rsid w:val="29024810"/>
    <w:rsid w:val="29F179E6"/>
    <w:rsid w:val="2AEE7168"/>
    <w:rsid w:val="2D100451"/>
    <w:rsid w:val="2D655062"/>
    <w:rsid w:val="2DE32466"/>
    <w:rsid w:val="2E0B7AD2"/>
    <w:rsid w:val="2ED73471"/>
    <w:rsid w:val="30055F99"/>
    <w:rsid w:val="30082788"/>
    <w:rsid w:val="338C1CDB"/>
    <w:rsid w:val="34B46766"/>
    <w:rsid w:val="363A5847"/>
    <w:rsid w:val="371D01E9"/>
    <w:rsid w:val="3807123C"/>
    <w:rsid w:val="380C5FF0"/>
    <w:rsid w:val="38A50A20"/>
    <w:rsid w:val="39483817"/>
    <w:rsid w:val="3A8A0A6D"/>
    <w:rsid w:val="3BEE3180"/>
    <w:rsid w:val="3C2A27F0"/>
    <w:rsid w:val="3C811109"/>
    <w:rsid w:val="3C9812F3"/>
    <w:rsid w:val="3C9972E9"/>
    <w:rsid w:val="3CD4425E"/>
    <w:rsid w:val="3D6B723F"/>
    <w:rsid w:val="3D902546"/>
    <w:rsid w:val="3EC70319"/>
    <w:rsid w:val="403C5978"/>
    <w:rsid w:val="41517EEE"/>
    <w:rsid w:val="41BB7DBF"/>
    <w:rsid w:val="41C3552A"/>
    <w:rsid w:val="424A4473"/>
    <w:rsid w:val="42A5727D"/>
    <w:rsid w:val="44737AF8"/>
    <w:rsid w:val="44E96BE7"/>
    <w:rsid w:val="45BA402C"/>
    <w:rsid w:val="475E5ED8"/>
    <w:rsid w:val="487252DD"/>
    <w:rsid w:val="48EA0DC3"/>
    <w:rsid w:val="491B1334"/>
    <w:rsid w:val="49493DA0"/>
    <w:rsid w:val="49DE3D3F"/>
    <w:rsid w:val="4AB31B44"/>
    <w:rsid w:val="4BA61D9A"/>
    <w:rsid w:val="4BAD4607"/>
    <w:rsid w:val="4C7F4E8C"/>
    <w:rsid w:val="4D50684E"/>
    <w:rsid w:val="4E2D6E47"/>
    <w:rsid w:val="4F8E4DE3"/>
    <w:rsid w:val="508266A5"/>
    <w:rsid w:val="50AE0EAA"/>
    <w:rsid w:val="51D81B3E"/>
    <w:rsid w:val="521F3DB5"/>
    <w:rsid w:val="52F2518D"/>
    <w:rsid w:val="52F4134C"/>
    <w:rsid w:val="53096BA6"/>
    <w:rsid w:val="533247B4"/>
    <w:rsid w:val="55B15397"/>
    <w:rsid w:val="55BB78D0"/>
    <w:rsid w:val="575F7EA6"/>
    <w:rsid w:val="5A363DEF"/>
    <w:rsid w:val="5AD3556D"/>
    <w:rsid w:val="5AD52A65"/>
    <w:rsid w:val="5BF373B8"/>
    <w:rsid w:val="5C256C50"/>
    <w:rsid w:val="5C8A5A87"/>
    <w:rsid w:val="5CF01381"/>
    <w:rsid w:val="5DD15077"/>
    <w:rsid w:val="5DE20731"/>
    <w:rsid w:val="5E9D63D3"/>
    <w:rsid w:val="5F2D774A"/>
    <w:rsid w:val="60C6268D"/>
    <w:rsid w:val="61CC6ED1"/>
    <w:rsid w:val="61E23957"/>
    <w:rsid w:val="63B279E4"/>
    <w:rsid w:val="64036661"/>
    <w:rsid w:val="65464D93"/>
    <w:rsid w:val="65A23928"/>
    <w:rsid w:val="66824A88"/>
    <w:rsid w:val="6B9545CE"/>
    <w:rsid w:val="6D0D732C"/>
    <w:rsid w:val="6D4E6174"/>
    <w:rsid w:val="6D8328E9"/>
    <w:rsid w:val="6E0113FF"/>
    <w:rsid w:val="6ED660E9"/>
    <w:rsid w:val="6F5C1D4B"/>
    <w:rsid w:val="6F776735"/>
    <w:rsid w:val="6F871F4B"/>
    <w:rsid w:val="700E21D7"/>
    <w:rsid w:val="711E1564"/>
    <w:rsid w:val="712F2955"/>
    <w:rsid w:val="713C6EAD"/>
    <w:rsid w:val="71EA04B1"/>
    <w:rsid w:val="727D1FD5"/>
    <w:rsid w:val="75D42E69"/>
    <w:rsid w:val="774D55B0"/>
    <w:rsid w:val="78675141"/>
    <w:rsid w:val="79165391"/>
    <w:rsid w:val="79E8085D"/>
    <w:rsid w:val="79EC0F7F"/>
    <w:rsid w:val="7A144897"/>
    <w:rsid w:val="7A2518A1"/>
    <w:rsid w:val="7C091D5F"/>
    <w:rsid w:val="7CA80507"/>
    <w:rsid w:val="7D270B64"/>
    <w:rsid w:val="7D8E2A65"/>
    <w:rsid w:val="7D9E0000"/>
    <w:rsid w:val="7DD82EA4"/>
    <w:rsid w:val="7F055C50"/>
    <w:rsid w:val="7F311D9F"/>
    <w:rsid w:val="7FB062E0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9"/>
    <w:qFormat/>
    <w:uiPriority w:val="0"/>
    <w:pPr>
      <w:keepNext/>
      <w:keepLines/>
      <w:numPr>
        <w:ilvl w:val="0"/>
        <w:numId w:val="1"/>
      </w:numPr>
      <w:spacing w:line="240" w:lineRule="auto"/>
      <w:ind w:left="432" w:hanging="432"/>
      <w:outlineLvl w:val="0"/>
    </w:pPr>
    <w:rPr>
      <w:rFonts w:asciiTheme="minorAscii" w:hAnsiTheme="minorAscii" w:eastAsiaTheme="majorEastAsia"/>
      <w:b/>
      <w:kern w:val="44"/>
      <w:sz w:val="32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rFonts w:ascii="Times New Roman" w:hAnsi="Times New Roman" w:eastAsia="宋体" w:cs="Times New Roman"/>
      <w:b/>
      <w:sz w:val="24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hAnsi="Arial" w:eastAsia="宋体" w:cs="Times New Roman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23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spacing w:beforeLines="25" w:afterLines="25"/>
      <w:ind w:firstLine="520"/>
    </w:pPr>
    <w:rPr>
      <w:rFonts w:ascii="宋体" w:hAnsi="宋体" w:eastAsia="仿宋" w:cs="宋体"/>
      <w:spacing w:val="10"/>
      <w:sz w:val="24"/>
    </w:rPr>
  </w:style>
  <w:style w:type="paragraph" w:styleId="12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3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14">
    <w:name w:val="Block Text"/>
    <w:basedOn w:val="1"/>
    <w:unhideWhenUsed/>
    <w:qFormat/>
    <w:uiPriority w:val="99"/>
    <w:pPr>
      <w:spacing w:afterLines="0" w:afterAutospacing="0"/>
      <w:ind w:left="0" w:leftChars="0" w:rightChars="0"/>
    </w:pPr>
    <w:rPr>
      <w:rFonts w:ascii="Times New Roman" w:hAnsi="Times New Roman"/>
    </w:rPr>
  </w:style>
  <w:style w:type="paragraph" w:styleId="15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6">
    <w:name w:val="Balloon Text"/>
    <w:basedOn w:val="1"/>
    <w:link w:val="26"/>
    <w:qFormat/>
    <w:uiPriority w:val="0"/>
    <w:rPr>
      <w:sz w:val="18"/>
      <w:szCs w:val="18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20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paragraph" w:styleId="21">
    <w:name w:val="Body Text First Indent 2"/>
    <w:basedOn w:val="13"/>
    <w:unhideWhenUsed/>
    <w:qFormat/>
    <w:uiPriority w:val="99"/>
    <w:pPr>
      <w:ind w:firstLine="420" w:firstLineChars="200"/>
    </w:pPr>
  </w:style>
  <w:style w:type="character" w:styleId="24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5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6">
    <w:name w:val="批注框文本 字符"/>
    <w:basedOn w:val="23"/>
    <w:link w:val="1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TOC 标题1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  <w:style w:type="character" w:customStyle="1" w:styleId="29">
    <w:name w:val="标题 1 字符"/>
    <w:basedOn w:val="23"/>
    <w:link w:val="3"/>
    <w:qFormat/>
    <w:uiPriority w:val="0"/>
    <w:rPr>
      <w:rFonts w:asciiTheme="minorAscii" w:hAnsiTheme="minorAscii" w:eastAsiaTheme="majorEastAsia" w:cstheme="minorBidi"/>
      <w:b/>
      <w:kern w:val="44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3" Type="http://schemas.openxmlformats.org/officeDocument/2006/relationships/fontTable" Target="fontTable.xml"/><Relationship Id="rId82" Type="http://schemas.openxmlformats.org/officeDocument/2006/relationships/numbering" Target="numbering.xml"/><Relationship Id="rId81" Type="http://schemas.openxmlformats.org/officeDocument/2006/relationships/customXml" Target="../customXml/item1.xml"/><Relationship Id="rId80" Type="http://schemas.openxmlformats.org/officeDocument/2006/relationships/image" Target="media/image73.png"/><Relationship Id="rId8" Type="http://schemas.openxmlformats.org/officeDocument/2006/relationships/image" Target="media/image1.png"/><Relationship Id="rId79" Type="http://schemas.openxmlformats.org/officeDocument/2006/relationships/image" Target="media/image72.png"/><Relationship Id="rId78" Type="http://schemas.openxmlformats.org/officeDocument/2006/relationships/image" Target="media/image71.png"/><Relationship Id="rId77" Type="http://schemas.openxmlformats.org/officeDocument/2006/relationships/image" Target="media/image70.png"/><Relationship Id="rId76" Type="http://schemas.openxmlformats.org/officeDocument/2006/relationships/image" Target="media/image69.png"/><Relationship Id="rId75" Type="http://schemas.openxmlformats.org/officeDocument/2006/relationships/image" Target="media/image68.png"/><Relationship Id="rId74" Type="http://schemas.openxmlformats.org/officeDocument/2006/relationships/image" Target="media/image67.png"/><Relationship Id="rId73" Type="http://schemas.openxmlformats.org/officeDocument/2006/relationships/image" Target="media/image66.png"/><Relationship Id="rId72" Type="http://schemas.openxmlformats.org/officeDocument/2006/relationships/image" Target="media/image65.png"/><Relationship Id="rId71" Type="http://schemas.openxmlformats.org/officeDocument/2006/relationships/image" Target="media/image64.png"/><Relationship Id="rId70" Type="http://schemas.openxmlformats.org/officeDocument/2006/relationships/image" Target="media/image63.png"/><Relationship Id="rId7" Type="http://schemas.openxmlformats.org/officeDocument/2006/relationships/theme" Target="theme/theme1.xml"/><Relationship Id="rId69" Type="http://schemas.openxmlformats.org/officeDocument/2006/relationships/image" Target="media/image62.png"/><Relationship Id="rId68" Type="http://schemas.openxmlformats.org/officeDocument/2006/relationships/image" Target="media/image61.png"/><Relationship Id="rId67" Type="http://schemas.openxmlformats.org/officeDocument/2006/relationships/image" Target="media/image60.png"/><Relationship Id="rId66" Type="http://schemas.openxmlformats.org/officeDocument/2006/relationships/image" Target="media/image59.png"/><Relationship Id="rId65" Type="http://schemas.openxmlformats.org/officeDocument/2006/relationships/image" Target="media/image58.png"/><Relationship Id="rId64" Type="http://schemas.openxmlformats.org/officeDocument/2006/relationships/image" Target="media/image57.png"/><Relationship Id="rId63" Type="http://schemas.openxmlformats.org/officeDocument/2006/relationships/image" Target="media/image56.png"/><Relationship Id="rId62" Type="http://schemas.openxmlformats.org/officeDocument/2006/relationships/image" Target="media/image55.png"/><Relationship Id="rId61" Type="http://schemas.openxmlformats.org/officeDocument/2006/relationships/image" Target="media/image54.png"/><Relationship Id="rId60" Type="http://schemas.openxmlformats.org/officeDocument/2006/relationships/image" Target="media/image53.png"/><Relationship Id="rId6" Type="http://schemas.openxmlformats.org/officeDocument/2006/relationships/footer" Target="footer3.xml"/><Relationship Id="rId59" Type="http://schemas.openxmlformats.org/officeDocument/2006/relationships/image" Target="media/image52.png"/><Relationship Id="rId58" Type="http://schemas.openxmlformats.org/officeDocument/2006/relationships/image" Target="media/image51.png"/><Relationship Id="rId57" Type="http://schemas.openxmlformats.org/officeDocument/2006/relationships/image" Target="media/image50.png"/><Relationship Id="rId56" Type="http://schemas.openxmlformats.org/officeDocument/2006/relationships/image" Target="media/image49.png"/><Relationship Id="rId55" Type="http://schemas.openxmlformats.org/officeDocument/2006/relationships/image" Target="media/image48.png"/><Relationship Id="rId54" Type="http://schemas.openxmlformats.org/officeDocument/2006/relationships/image" Target="media/image47.png"/><Relationship Id="rId53" Type="http://schemas.openxmlformats.org/officeDocument/2006/relationships/image" Target="media/image46.png"/><Relationship Id="rId52" Type="http://schemas.openxmlformats.org/officeDocument/2006/relationships/image" Target="media/image45.png"/><Relationship Id="rId51" Type="http://schemas.openxmlformats.org/officeDocument/2006/relationships/image" Target="media/image44.png"/><Relationship Id="rId50" Type="http://schemas.openxmlformats.org/officeDocument/2006/relationships/image" Target="media/image43.png"/><Relationship Id="rId5" Type="http://schemas.openxmlformats.org/officeDocument/2006/relationships/footer" Target="footer2.xml"/><Relationship Id="rId49" Type="http://schemas.openxmlformats.org/officeDocument/2006/relationships/image" Target="media/image42.png"/><Relationship Id="rId48" Type="http://schemas.openxmlformats.org/officeDocument/2006/relationships/image" Target="media/image41.png"/><Relationship Id="rId47" Type="http://schemas.openxmlformats.org/officeDocument/2006/relationships/image" Target="media/image40.png"/><Relationship Id="rId46" Type="http://schemas.openxmlformats.org/officeDocument/2006/relationships/image" Target="media/image39.png"/><Relationship Id="rId45" Type="http://schemas.openxmlformats.org/officeDocument/2006/relationships/image" Target="media/image38.png"/><Relationship Id="rId44" Type="http://schemas.openxmlformats.org/officeDocument/2006/relationships/image" Target="media/image37.png"/><Relationship Id="rId43" Type="http://schemas.openxmlformats.org/officeDocument/2006/relationships/image" Target="media/image36.png"/><Relationship Id="rId42" Type="http://schemas.openxmlformats.org/officeDocument/2006/relationships/image" Target="media/image35.png"/><Relationship Id="rId41" Type="http://schemas.openxmlformats.org/officeDocument/2006/relationships/image" Target="media/image34.png"/><Relationship Id="rId40" Type="http://schemas.openxmlformats.org/officeDocument/2006/relationships/image" Target="media/image33.png"/><Relationship Id="rId4" Type="http://schemas.openxmlformats.org/officeDocument/2006/relationships/header" Target="header1.xml"/><Relationship Id="rId39" Type="http://schemas.openxmlformats.org/officeDocument/2006/relationships/image" Target="media/image32.png"/><Relationship Id="rId38" Type="http://schemas.openxmlformats.org/officeDocument/2006/relationships/image" Target="media/image31.png"/><Relationship Id="rId37" Type="http://schemas.openxmlformats.org/officeDocument/2006/relationships/image" Target="media/image30.png"/><Relationship Id="rId36" Type="http://schemas.openxmlformats.org/officeDocument/2006/relationships/image" Target="media/image29.png"/><Relationship Id="rId35" Type="http://schemas.openxmlformats.org/officeDocument/2006/relationships/image" Target="media/image28.png"/><Relationship Id="rId34" Type="http://schemas.openxmlformats.org/officeDocument/2006/relationships/image" Target="media/image27.png"/><Relationship Id="rId33" Type="http://schemas.openxmlformats.org/officeDocument/2006/relationships/image" Target="media/image26.png"/><Relationship Id="rId32" Type="http://schemas.openxmlformats.org/officeDocument/2006/relationships/image" Target="media/image25.png"/><Relationship Id="rId31" Type="http://schemas.openxmlformats.org/officeDocument/2006/relationships/image" Target="media/image24.png"/><Relationship Id="rId30" Type="http://schemas.openxmlformats.org/officeDocument/2006/relationships/image" Target="media/image23.png"/><Relationship Id="rId3" Type="http://schemas.openxmlformats.org/officeDocument/2006/relationships/footer" Target="footer1.xml"/><Relationship Id="rId29" Type="http://schemas.openxmlformats.org/officeDocument/2006/relationships/image" Target="media/image22.png"/><Relationship Id="rId28" Type="http://schemas.openxmlformats.org/officeDocument/2006/relationships/image" Target="media/image21.png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515</Words>
  <Characters>2936</Characters>
  <Lines>24</Lines>
  <Paragraphs>6</Paragraphs>
  <TotalTime>0</TotalTime>
  <ScaleCrop>false</ScaleCrop>
  <LinksUpToDate>false</LinksUpToDate>
  <CharactersWithSpaces>3445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陈颖华</cp:lastModifiedBy>
  <dcterms:modified xsi:type="dcterms:W3CDTF">2023-03-15T09:02:46Z</dcterms:modified>
  <cp:revision>486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7EB192BDEDE04A479EAB300C407001DF</vt:lpwstr>
  </property>
</Properties>
</file>