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pPr>
    </w:p>
    <w:p>
      <w:pPr>
        <w:spacing w:line="360" w:lineRule="auto"/>
        <w:jc w:val="center"/>
        <w:rPr>
          <w:rFonts w:ascii="宋体" w:hAnsi="宋体" w:eastAsia="宋体" w:cs="宋体"/>
          <w:b/>
          <w:sz w:val="52"/>
          <w:szCs w:val="52"/>
        </w:rPr>
      </w:pPr>
    </w:p>
    <w:p>
      <w:pPr>
        <w:spacing w:line="360" w:lineRule="auto"/>
        <w:jc w:val="center"/>
        <w:rPr>
          <w:rFonts w:ascii="宋体" w:hAnsi="宋体" w:eastAsia="宋体" w:cs="宋体"/>
          <w:b/>
          <w:sz w:val="52"/>
          <w:szCs w:val="52"/>
        </w:rPr>
      </w:pPr>
    </w:p>
    <w:p>
      <w:pPr>
        <w:spacing w:line="360" w:lineRule="auto"/>
        <w:jc w:val="center"/>
        <w:rPr>
          <w:rFonts w:ascii="宋体" w:hAnsi="宋体" w:eastAsia="宋体" w:cs="宋体"/>
          <w:b/>
          <w:sz w:val="52"/>
          <w:szCs w:val="52"/>
        </w:rPr>
      </w:pPr>
    </w:p>
    <w:p>
      <w:pPr>
        <w:spacing w:line="360" w:lineRule="auto"/>
        <w:jc w:val="center"/>
        <w:rPr>
          <w:rFonts w:ascii="宋体" w:hAnsi="宋体" w:eastAsia="宋体" w:cs="宋体"/>
          <w:b/>
          <w:sz w:val="52"/>
          <w:szCs w:val="52"/>
        </w:rPr>
      </w:pPr>
    </w:p>
    <w:p>
      <w:pPr>
        <w:spacing w:line="360" w:lineRule="auto"/>
        <w:jc w:val="center"/>
        <w:rPr>
          <w:rFonts w:ascii="宋体" w:hAnsi="宋体" w:eastAsia="宋体" w:cs="宋体"/>
          <w:b/>
          <w:sz w:val="52"/>
          <w:szCs w:val="52"/>
        </w:rPr>
      </w:pPr>
    </w:p>
    <w:p>
      <w:pPr>
        <w:spacing w:line="360" w:lineRule="auto"/>
        <w:jc w:val="center"/>
        <w:rPr>
          <w:rFonts w:ascii="宋体" w:hAnsi="宋体" w:eastAsia="宋体" w:cs="宋体"/>
          <w:b/>
          <w:sz w:val="48"/>
          <w:szCs w:val="48"/>
        </w:rPr>
      </w:pPr>
      <w:r>
        <w:rPr>
          <w:rFonts w:hint="eastAsia" w:ascii="宋体" w:hAnsi="宋体" w:eastAsia="宋体" w:cs="宋体"/>
          <w:b/>
          <w:sz w:val="48"/>
          <w:szCs w:val="48"/>
        </w:rPr>
        <w:t>广西壮族自治区公共资源交易平台系统权益类交易子系统（</w:t>
      </w:r>
      <w:r>
        <w:rPr>
          <w:rFonts w:hint="eastAsia" w:ascii="宋体" w:hAnsi="宋体" w:eastAsia="宋体" w:cs="宋体"/>
          <w:b/>
          <w:sz w:val="48"/>
          <w:szCs w:val="48"/>
          <w:lang w:eastAsia="zh-CN"/>
        </w:rPr>
        <w:t>土地使用权</w:t>
      </w:r>
      <w:r>
        <w:rPr>
          <w:rFonts w:hint="eastAsia" w:ascii="宋体" w:hAnsi="宋体" w:eastAsia="宋体" w:cs="宋体"/>
          <w:b/>
          <w:sz w:val="48"/>
          <w:szCs w:val="48"/>
        </w:rPr>
        <w:t>）</w:t>
      </w:r>
    </w:p>
    <w:p>
      <w:pPr>
        <w:spacing w:line="360" w:lineRule="auto"/>
        <w:jc w:val="center"/>
        <w:rPr>
          <w:rFonts w:ascii="宋体" w:hAnsi="宋体" w:eastAsia="宋体" w:cs="宋体"/>
          <w:b/>
          <w:sz w:val="48"/>
          <w:szCs w:val="48"/>
        </w:rPr>
      </w:pPr>
      <w:r>
        <w:rPr>
          <w:rFonts w:hint="eastAsia" w:ascii="宋体" w:hAnsi="宋体" w:eastAsia="宋体" w:cs="宋体"/>
          <w:b/>
          <w:sz w:val="48"/>
          <w:szCs w:val="48"/>
        </w:rPr>
        <w:t>竞买人用户手册</w:t>
      </w:r>
    </w:p>
    <w:p>
      <w:pPr>
        <w:rPr>
          <w:rFonts w:ascii="宋体" w:hAnsi="宋体" w:eastAsia="宋体" w:cs="宋体"/>
          <w:b/>
          <w:sz w:val="48"/>
          <w:szCs w:val="48"/>
        </w:rPr>
      </w:pPr>
      <w:r>
        <w:rPr>
          <w:rFonts w:hint="eastAsia" w:ascii="宋体" w:hAnsi="宋体" w:eastAsia="宋体" w:cs="宋体"/>
          <w:b/>
          <w:sz w:val="48"/>
          <w:szCs w:val="48"/>
        </w:rPr>
        <w:br w:type="page"/>
      </w:r>
    </w:p>
    <w:p>
      <w:pPr>
        <w:spacing w:line="360" w:lineRule="auto"/>
        <w:jc w:val="center"/>
        <w:rPr>
          <w:rFonts w:ascii="宋体" w:hAnsi="宋体" w:eastAsia="宋体" w:cs="宋体"/>
          <w:b/>
          <w:sz w:val="48"/>
          <w:szCs w:val="48"/>
        </w:rPr>
      </w:pPr>
    </w:p>
    <w:sdt>
      <w:sdtPr>
        <w:rPr>
          <w:rFonts w:ascii="宋体" w:hAnsi="宋体" w:eastAsia="宋体"/>
        </w:rPr>
        <w:id w:val="147451461"/>
        <w15:color w:val="DBDBDB"/>
        <w:docPartObj>
          <w:docPartGallery w:val="Table of Contents"/>
          <w:docPartUnique/>
        </w:docPartObj>
      </w:sdtPr>
      <w:sdtEndPr>
        <w:rPr>
          <w:rFonts w:asciiTheme="minorHAnsi" w:hAnsiTheme="minorHAnsi" w:eastAsiaTheme="minorEastAsia"/>
        </w:rPr>
      </w:sdtEndPr>
      <w:sdtContent>
        <w:p>
          <w:pPr>
            <w:jc w:val="center"/>
          </w:pPr>
          <w:r>
            <w:rPr>
              <w:rFonts w:ascii="宋体" w:hAnsi="宋体" w:eastAsia="宋体"/>
            </w:rPr>
            <w:t>目录</w:t>
          </w:r>
        </w:p>
        <w:p>
          <w:pPr>
            <w:pStyle w:val="16"/>
            <w:tabs>
              <w:tab w:val="right" w:leader="dot" w:pos="8306"/>
            </w:tabs>
          </w:pPr>
          <w:bookmarkStart w:id="12" w:name="_GoBack"/>
          <w:bookmarkEnd w:id="12"/>
          <w:r>
            <w:fldChar w:fldCharType="begin"/>
          </w:r>
          <w:r>
            <w:instrText xml:space="preserve">TOC \o "1-1" \h \u </w:instrText>
          </w:r>
          <w:r>
            <w:fldChar w:fldCharType="separate"/>
          </w:r>
          <w:r>
            <w:fldChar w:fldCharType="begin"/>
          </w:r>
          <w:r>
            <w:instrText xml:space="preserve"> HYPERLINK \l _Toc6434 </w:instrText>
          </w:r>
          <w:r>
            <w:fldChar w:fldCharType="separate"/>
          </w:r>
          <w:r>
            <w:rPr>
              <w:rFonts w:hint="default" w:ascii="宋体" w:hAnsi="宋体" w:eastAsia="宋体" w:cs="宋体"/>
              <w:szCs w:val="21"/>
            </w:rPr>
            <w:t xml:space="preserve">1. </w:t>
          </w:r>
          <w:r>
            <w:rPr>
              <w:rFonts w:hint="eastAsia" w:ascii="宋体" w:hAnsi="宋体" w:eastAsia="宋体" w:cs="宋体"/>
              <w:szCs w:val="21"/>
            </w:rPr>
            <w:t>系统登录</w:t>
          </w:r>
          <w:r>
            <w:tab/>
          </w:r>
          <w:r>
            <w:fldChar w:fldCharType="begin"/>
          </w:r>
          <w:r>
            <w:instrText xml:space="preserve"> PAGEREF _Toc6434 \h </w:instrText>
          </w:r>
          <w:r>
            <w:fldChar w:fldCharType="separate"/>
          </w:r>
          <w:r>
            <w:t>3</w:t>
          </w:r>
          <w:r>
            <w:fldChar w:fldCharType="end"/>
          </w:r>
          <w:r>
            <w:fldChar w:fldCharType="end"/>
          </w:r>
        </w:p>
        <w:p>
          <w:pPr>
            <w:pStyle w:val="16"/>
            <w:tabs>
              <w:tab w:val="right" w:leader="dot" w:pos="8306"/>
            </w:tabs>
          </w:pPr>
          <w:r>
            <w:fldChar w:fldCharType="begin"/>
          </w:r>
          <w:r>
            <w:instrText xml:space="preserve"> HYPERLINK \l _Toc2123 </w:instrText>
          </w:r>
          <w:r>
            <w:fldChar w:fldCharType="separate"/>
          </w:r>
          <w:r>
            <w:rPr>
              <w:rFonts w:hint="default" w:ascii="宋体" w:hAnsi="宋体" w:eastAsia="宋体" w:cs="宋体"/>
              <w:szCs w:val="21"/>
            </w:rPr>
            <w:t xml:space="preserve">2. </w:t>
          </w:r>
          <w:r>
            <w:rPr>
              <w:rFonts w:hint="eastAsia" w:ascii="宋体" w:hAnsi="宋体" w:eastAsia="宋体" w:cs="宋体"/>
              <w:szCs w:val="21"/>
            </w:rPr>
            <w:t>竞买人申购</w:t>
          </w:r>
          <w:r>
            <w:tab/>
          </w:r>
          <w:r>
            <w:fldChar w:fldCharType="begin"/>
          </w:r>
          <w:r>
            <w:instrText xml:space="preserve"> PAGEREF _Toc2123 \h </w:instrText>
          </w:r>
          <w:r>
            <w:fldChar w:fldCharType="separate"/>
          </w:r>
          <w:r>
            <w:t>3</w:t>
          </w:r>
          <w:r>
            <w:fldChar w:fldCharType="end"/>
          </w:r>
          <w:r>
            <w:fldChar w:fldCharType="end"/>
          </w:r>
        </w:p>
        <w:p>
          <w:pPr>
            <w:pStyle w:val="16"/>
            <w:tabs>
              <w:tab w:val="right" w:leader="dot" w:pos="8306"/>
            </w:tabs>
          </w:pPr>
          <w:r>
            <w:fldChar w:fldCharType="begin"/>
          </w:r>
          <w:r>
            <w:instrText xml:space="preserve"> HYPERLINK \l _Toc12453 </w:instrText>
          </w:r>
          <w:r>
            <w:fldChar w:fldCharType="separate"/>
          </w:r>
          <w:r>
            <w:rPr>
              <w:rFonts w:hint="default"/>
            </w:rPr>
            <w:t xml:space="preserve">3. </w:t>
          </w:r>
          <w:r>
            <w:rPr>
              <w:rFonts w:hint="eastAsia"/>
              <w:lang w:val="en-US" w:eastAsia="zh-CN"/>
            </w:rPr>
            <w:t>资格报名查看</w:t>
          </w:r>
          <w:r>
            <w:tab/>
          </w:r>
          <w:r>
            <w:fldChar w:fldCharType="begin"/>
          </w:r>
          <w:r>
            <w:instrText xml:space="preserve"> PAGEREF _Toc12453 \h </w:instrText>
          </w:r>
          <w:r>
            <w:fldChar w:fldCharType="separate"/>
          </w:r>
          <w:r>
            <w:t>7</w:t>
          </w:r>
          <w:r>
            <w:fldChar w:fldCharType="end"/>
          </w:r>
          <w:r>
            <w:fldChar w:fldCharType="end"/>
          </w:r>
        </w:p>
        <w:p>
          <w:pPr>
            <w:pStyle w:val="16"/>
            <w:tabs>
              <w:tab w:val="right" w:leader="dot" w:pos="8306"/>
            </w:tabs>
          </w:pPr>
          <w:r>
            <w:fldChar w:fldCharType="begin"/>
          </w:r>
          <w:r>
            <w:instrText xml:space="preserve"> HYPERLINK \l _Toc27145 </w:instrText>
          </w:r>
          <w:r>
            <w:fldChar w:fldCharType="separate"/>
          </w:r>
          <w:r>
            <w:rPr>
              <w:rFonts w:hint="default"/>
            </w:rPr>
            <w:t xml:space="preserve">4. </w:t>
          </w:r>
          <w:r>
            <w:rPr>
              <w:rFonts w:hint="eastAsia"/>
              <w:lang w:val="en-US" w:eastAsia="zh-CN"/>
            </w:rPr>
            <w:t>文件下载</w:t>
          </w:r>
          <w:r>
            <w:tab/>
          </w:r>
          <w:r>
            <w:fldChar w:fldCharType="begin"/>
          </w:r>
          <w:r>
            <w:instrText xml:space="preserve"> PAGEREF _Toc27145 \h </w:instrText>
          </w:r>
          <w:r>
            <w:fldChar w:fldCharType="separate"/>
          </w:r>
          <w:r>
            <w:t>8</w:t>
          </w:r>
          <w:r>
            <w:fldChar w:fldCharType="end"/>
          </w:r>
          <w:r>
            <w:fldChar w:fldCharType="end"/>
          </w:r>
        </w:p>
        <w:p>
          <w:pPr>
            <w:pStyle w:val="16"/>
            <w:tabs>
              <w:tab w:val="right" w:leader="dot" w:pos="8306"/>
            </w:tabs>
          </w:pPr>
          <w:r>
            <w:fldChar w:fldCharType="begin"/>
          </w:r>
          <w:r>
            <w:instrText xml:space="preserve"> HYPERLINK \l _Toc10932 </w:instrText>
          </w:r>
          <w:r>
            <w:fldChar w:fldCharType="separate"/>
          </w:r>
          <w:r>
            <w:rPr>
              <w:rFonts w:hint="default" w:eastAsiaTheme="minorEastAsia"/>
              <w:lang w:val="en-US" w:eastAsia="zh-CN"/>
            </w:rPr>
            <w:t xml:space="preserve">5. </w:t>
          </w:r>
          <w:r>
            <w:rPr>
              <w:rFonts w:hint="eastAsia"/>
              <w:lang w:val="en-US" w:eastAsia="zh-CN"/>
            </w:rPr>
            <w:t>保证金缴纳</w:t>
          </w:r>
          <w:r>
            <w:tab/>
          </w:r>
          <w:r>
            <w:fldChar w:fldCharType="begin"/>
          </w:r>
          <w:r>
            <w:instrText xml:space="preserve"> PAGEREF _Toc10932 \h </w:instrText>
          </w:r>
          <w:r>
            <w:fldChar w:fldCharType="separate"/>
          </w:r>
          <w:r>
            <w:t>8</w:t>
          </w:r>
          <w:r>
            <w:fldChar w:fldCharType="end"/>
          </w:r>
          <w:r>
            <w:fldChar w:fldCharType="end"/>
          </w:r>
        </w:p>
        <w:p>
          <w:pPr>
            <w:pStyle w:val="16"/>
            <w:tabs>
              <w:tab w:val="right" w:leader="dot" w:pos="8306"/>
            </w:tabs>
          </w:pPr>
          <w:r>
            <w:fldChar w:fldCharType="begin"/>
          </w:r>
          <w:r>
            <w:instrText xml:space="preserve"> HYPERLINK \l _Toc21920 </w:instrText>
          </w:r>
          <w:r>
            <w:fldChar w:fldCharType="separate"/>
          </w:r>
          <w:r>
            <w:rPr>
              <w:rFonts w:hint="default"/>
            </w:rPr>
            <w:t xml:space="preserve">6. </w:t>
          </w:r>
          <w:r>
            <w:rPr>
              <w:rFonts w:hint="eastAsia"/>
              <w:lang w:val="en-US" w:eastAsia="zh-CN"/>
            </w:rPr>
            <w:t>获取竞买资格（无需资格审查）</w:t>
          </w:r>
          <w:r>
            <w:tab/>
          </w:r>
          <w:r>
            <w:fldChar w:fldCharType="begin"/>
          </w:r>
          <w:r>
            <w:instrText xml:space="preserve"> PAGEREF _Toc21920 \h </w:instrText>
          </w:r>
          <w:r>
            <w:fldChar w:fldCharType="separate"/>
          </w:r>
          <w:r>
            <w:t>9</w:t>
          </w:r>
          <w:r>
            <w:fldChar w:fldCharType="end"/>
          </w:r>
          <w:r>
            <w:fldChar w:fldCharType="end"/>
          </w:r>
        </w:p>
        <w:p>
          <w:pPr>
            <w:pStyle w:val="16"/>
            <w:tabs>
              <w:tab w:val="right" w:leader="dot" w:pos="8306"/>
            </w:tabs>
          </w:pPr>
          <w:r>
            <w:fldChar w:fldCharType="begin"/>
          </w:r>
          <w:r>
            <w:instrText xml:space="preserve"> HYPERLINK \l _Toc13251 </w:instrText>
          </w:r>
          <w:r>
            <w:fldChar w:fldCharType="separate"/>
          </w:r>
          <w:r>
            <w:rPr>
              <w:rFonts w:hint="default"/>
            </w:rPr>
            <w:t xml:space="preserve">7. </w:t>
          </w:r>
          <w:r>
            <w:rPr>
              <w:rFonts w:hint="eastAsia"/>
              <w:lang w:val="en-US" w:eastAsia="zh-CN"/>
            </w:rPr>
            <w:t>获取竞买资格（资格预审查）</w:t>
          </w:r>
          <w:r>
            <w:tab/>
          </w:r>
          <w:r>
            <w:fldChar w:fldCharType="begin"/>
          </w:r>
          <w:r>
            <w:instrText xml:space="preserve"> PAGEREF _Toc13251 \h </w:instrText>
          </w:r>
          <w:r>
            <w:fldChar w:fldCharType="separate"/>
          </w:r>
          <w:r>
            <w:t>10</w:t>
          </w:r>
          <w:r>
            <w:fldChar w:fldCharType="end"/>
          </w:r>
          <w:r>
            <w:fldChar w:fldCharType="end"/>
          </w:r>
        </w:p>
        <w:p>
          <w:pPr>
            <w:pStyle w:val="16"/>
            <w:tabs>
              <w:tab w:val="right" w:leader="dot" w:pos="8306"/>
            </w:tabs>
          </w:pPr>
          <w:r>
            <w:fldChar w:fldCharType="begin"/>
          </w:r>
          <w:r>
            <w:instrText xml:space="preserve"> HYPERLINK \l _Toc19351 </w:instrText>
          </w:r>
          <w:r>
            <w:fldChar w:fldCharType="separate"/>
          </w:r>
          <w:r>
            <w:rPr>
              <w:rFonts w:hint="default"/>
            </w:rPr>
            <w:t xml:space="preserve">8. </w:t>
          </w:r>
          <w:r>
            <w:rPr>
              <w:rFonts w:hint="eastAsia"/>
              <w:lang w:val="en-US" w:eastAsia="zh-CN"/>
            </w:rPr>
            <w:t>资格后审查</w:t>
          </w:r>
          <w:r>
            <w:tab/>
          </w:r>
          <w:r>
            <w:fldChar w:fldCharType="begin"/>
          </w:r>
          <w:r>
            <w:instrText xml:space="preserve"> PAGEREF _Toc19351 \h </w:instrText>
          </w:r>
          <w:r>
            <w:fldChar w:fldCharType="separate"/>
          </w:r>
          <w:r>
            <w:t>12</w:t>
          </w:r>
          <w:r>
            <w:fldChar w:fldCharType="end"/>
          </w:r>
          <w:r>
            <w:fldChar w:fldCharType="end"/>
          </w:r>
        </w:p>
        <w:p>
          <w:pPr>
            <w:pStyle w:val="16"/>
            <w:tabs>
              <w:tab w:val="right" w:leader="dot" w:pos="8306"/>
            </w:tabs>
          </w:pPr>
          <w:r>
            <w:fldChar w:fldCharType="begin"/>
          </w:r>
          <w:r>
            <w:instrText xml:space="preserve"> HYPERLINK \l _Toc16537 </w:instrText>
          </w:r>
          <w:r>
            <w:fldChar w:fldCharType="separate"/>
          </w:r>
          <w:r>
            <w:rPr>
              <w:rFonts w:hint="default" w:ascii="宋体" w:hAnsi="宋体" w:eastAsia="宋体" w:cs="宋体"/>
              <w:szCs w:val="21"/>
            </w:rPr>
            <w:t xml:space="preserve">9. </w:t>
          </w:r>
          <w:r>
            <w:rPr>
              <w:rFonts w:hint="eastAsia" w:ascii="宋体" w:hAnsi="宋体" w:eastAsia="宋体" w:cs="宋体"/>
              <w:szCs w:val="21"/>
            </w:rPr>
            <w:t>竞价</w:t>
          </w:r>
          <w:r>
            <w:tab/>
          </w:r>
          <w:r>
            <w:fldChar w:fldCharType="begin"/>
          </w:r>
          <w:r>
            <w:instrText xml:space="preserve"> PAGEREF _Toc16537 \h </w:instrText>
          </w:r>
          <w:r>
            <w:fldChar w:fldCharType="separate"/>
          </w:r>
          <w:r>
            <w:t>13</w:t>
          </w:r>
          <w:r>
            <w:fldChar w:fldCharType="end"/>
          </w:r>
          <w:r>
            <w:fldChar w:fldCharType="end"/>
          </w:r>
        </w:p>
        <w:p>
          <w:pPr>
            <w:pStyle w:val="16"/>
            <w:tabs>
              <w:tab w:val="right" w:leader="dot" w:pos="8306"/>
            </w:tabs>
          </w:pPr>
          <w:r>
            <w:fldChar w:fldCharType="begin"/>
          </w:r>
          <w:r>
            <w:instrText xml:space="preserve"> HYPERLINK \l _Toc29316 </w:instrText>
          </w:r>
          <w:r>
            <w:fldChar w:fldCharType="separate"/>
          </w:r>
          <w:r>
            <w:rPr>
              <w:rFonts w:hint="default" w:ascii="宋体" w:hAnsi="宋体" w:eastAsia="宋体" w:cs="宋体"/>
              <w:szCs w:val="21"/>
            </w:rPr>
            <w:t xml:space="preserve">10. </w:t>
          </w:r>
          <w:r>
            <w:rPr>
              <w:rFonts w:hint="eastAsia" w:ascii="宋体" w:hAnsi="宋体" w:eastAsia="宋体" w:cs="宋体"/>
              <w:szCs w:val="21"/>
              <w:lang w:val="en-US" w:eastAsia="zh-CN"/>
            </w:rPr>
            <w:t>成交确认书确认</w:t>
          </w:r>
          <w:r>
            <w:tab/>
          </w:r>
          <w:r>
            <w:fldChar w:fldCharType="begin"/>
          </w:r>
          <w:r>
            <w:instrText xml:space="preserve"> PAGEREF _Toc29316 \h </w:instrText>
          </w:r>
          <w:r>
            <w:fldChar w:fldCharType="separate"/>
          </w:r>
          <w:r>
            <w:t>18</w:t>
          </w:r>
          <w:r>
            <w:fldChar w:fldCharType="end"/>
          </w:r>
          <w:r>
            <w:fldChar w:fldCharType="end"/>
          </w:r>
        </w:p>
        <w:p>
          <w:pPr>
            <w:pStyle w:val="16"/>
            <w:tabs>
              <w:tab w:val="right" w:leader="dot" w:pos="8306"/>
            </w:tabs>
          </w:pPr>
          <w:r>
            <w:fldChar w:fldCharType="begin"/>
          </w:r>
          <w:r>
            <w:instrText xml:space="preserve"> HYPERLINK \l _Toc5786 </w:instrText>
          </w:r>
          <w:r>
            <w:fldChar w:fldCharType="separate"/>
          </w:r>
          <w:r>
            <w:rPr>
              <w:rFonts w:hint="default" w:ascii="宋体" w:hAnsi="宋体" w:eastAsia="宋体" w:cs="宋体"/>
              <w:szCs w:val="21"/>
            </w:rPr>
            <w:t xml:space="preserve">11. </w:t>
          </w:r>
          <w:r>
            <w:rPr>
              <w:rFonts w:hint="eastAsia" w:ascii="宋体" w:hAnsi="宋体" w:eastAsia="宋体" w:cs="宋体"/>
              <w:szCs w:val="21"/>
              <w:lang w:val="en-US" w:eastAsia="zh-CN"/>
            </w:rPr>
            <w:t>成交结果查看</w:t>
          </w:r>
          <w:r>
            <w:tab/>
          </w:r>
          <w:r>
            <w:fldChar w:fldCharType="begin"/>
          </w:r>
          <w:r>
            <w:instrText xml:space="preserve"> PAGEREF _Toc5786 \h </w:instrText>
          </w:r>
          <w:r>
            <w:fldChar w:fldCharType="separate"/>
          </w:r>
          <w:r>
            <w:t>19</w:t>
          </w:r>
          <w:r>
            <w:fldChar w:fldCharType="end"/>
          </w:r>
          <w:r>
            <w:fldChar w:fldCharType="end"/>
          </w:r>
        </w:p>
        <w:p>
          <w:pPr>
            <w:spacing w:line="360" w:lineRule="auto"/>
          </w:pPr>
          <w:r>
            <w:fldChar w:fldCharType="end"/>
          </w:r>
        </w:p>
      </w:sdtContent>
    </w:sdt>
    <w:p>
      <w:pPr>
        <w:spacing w:line="360" w:lineRule="auto"/>
      </w:pPr>
    </w:p>
    <w:p>
      <w:pPr>
        <w:widowControl/>
        <w:spacing w:line="360" w:lineRule="auto"/>
        <w:jc w:val="left"/>
        <w:rPr>
          <w:rFonts w:ascii="宋体" w:hAnsi="宋体" w:eastAsia="宋体" w:cs="宋体"/>
          <w:szCs w:val="21"/>
        </w:rPr>
      </w:pPr>
      <w:r>
        <w:br w:type="page"/>
      </w:r>
    </w:p>
    <w:p>
      <w:pPr>
        <w:pStyle w:val="2"/>
        <w:rPr>
          <w:rFonts w:ascii="宋体" w:hAnsi="宋体" w:eastAsia="宋体" w:cs="宋体"/>
          <w:sz w:val="21"/>
          <w:szCs w:val="21"/>
        </w:rPr>
      </w:pPr>
      <w:bookmarkStart w:id="0" w:name="_Toc1068"/>
      <w:bookmarkStart w:id="1" w:name="_Toc6434"/>
      <w:r>
        <w:rPr>
          <w:rFonts w:hint="eastAsia" w:ascii="宋体" w:hAnsi="宋体" w:eastAsia="宋体" w:cs="宋体"/>
          <w:sz w:val="21"/>
          <w:szCs w:val="21"/>
        </w:rPr>
        <w:t>系统登录</w:t>
      </w:r>
      <w:bookmarkEnd w:id="0"/>
      <w:bookmarkEnd w:id="1"/>
    </w:p>
    <w:p>
      <w:pPr>
        <w:spacing w:line="360" w:lineRule="auto"/>
        <w:ind w:firstLine="420" w:firstLineChars="200"/>
        <w:rPr>
          <w:rFonts w:ascii="宋体" w:hAnsi="宋体" w:eastAsia="宋体" w:cs="宋体"/>
          <w:szCs w:val="21"/>
        </w:rPr>
      </w:pPr>
      <w:r>
        <w:rPr>
          <w:rFonts w:hint="eastAsia" w:ascii="宋体" w:hAnsi="宋体" w:eastAsia="宋体" w:cs="宋体"/>
          <w:szCs w:val="21"/>
        </w:rPr>
        <w:t>打开【广西壮族自治区公共资源交易平台系统】网址：</w:t>
      </w:r>
    </w:p>
    <w:p>
      <w:pPr>
        <w:spacing w:line="360" w:lineRule="auto"/>
        <w:ind w:firstLine="420" w:firstLineChars="200"/>
        <w:rPr>
          <w:rFonts w:ascii="宋体" w:hAnsi="宋体" w:eastAsia="宋体" w:cs="宋体"/>
          <w:szCs w:val="21"/>
        </w:rPr>
      </w:pPr>
      <w:r>
        <w:rPr>
          <w:rFonts w:hint="eastAsia" w:ascii="宋体" w:hAnsi="宋体" w:eastAsia="宋体" w:cs="宋体"/>
          <w:szCs w:val="21"/>
        </w:rPr>
        <w:t>http://202.103.240.162:808</w:t>
      </w:r>
      <w:r>
        <w:rPr>
          <w:rFonts w:hint="eastAsia" w:ascii="宋体" w:hAnsi="宋体" w:eastAsia="宋体" w:cs="宋体"/>
          <w:szCs w:val="21"/>
          <w:lang w:val="en-US" w:eastAsia="zh-CN"/>
        </w:rPr>
        <w:t>1</w:t>
      </w:r>
      <w:r>
        <w:rPr>
          <w:rFonts w:hint="eastAsia" w:ascii="宋体" w:hAnsi="宋体" w:eastAsia="宋体" w:cs="宋体"/>
          <w:szCs w:val="21"/>
        </w:rPr>
        <w:t>/GgzyjySSO/login/oauth2login，输入账号及密码登录系统。</w:t>
      </w:r>
    </w:p>
    <w:p>
      <w:pPr>
        <w:spacing w:line="360" w:lineRule="auto"/>
        <w:rPr>
          <w:rFonts w:ascii="宋体" w:hAnsi="宋体" w:eastAsia="宋体" w:cs="宋体"/>
          <w:szCs w:val="21"/>
        </w:rPr>
      </w:pPr>
      <w:r>
        <w:rPr>
          <w:rFonts w:hint="eastAsia" w:ascii="宋体" w:hAnsi="宋体" w:eastAsia="宋体" w:cs="宋体"/>
          <w:szCs w:val="21"/>
        </w:rPr>
        <w:drawing>
          <wp:inline distT="0" distB="0" distL="0" distR="0">
            <wp:extent cx="5274310" cy="2689225"/>
            <wp:effectExtent l="0" t="0" r="2540" b="1587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6"/>
                    <a:stretch>
                      <a:fillRect/>
                    </a:stretch>
                  </pic:blipFill>
                  <pic:spPr>
                    <a:xfrm>
                      <a:off x="0" y="0"/>
                      <a:ext cx="5274310" cy="2689654"/>
                    </a:xfrm>
                    <a:prstGeom prst="rect">
                      <a:avLst/>
                    </a:prstGeom>
                  </pic:spPr>
                </pic:pic>
              </a:graphicData>
            </a:graphic>
          </wp:inline>
        </w:drawing>
      </w:r>
    </w:p>
    <w:p>
      <w:pPr>
        <w:pStyle w:val="2"/>
        <w:rPr>
          <w:rFonts w:ascii="宋体" w:hAnsi="宋体" w:eastAsia="宋体" w:cs="宋体"/>
          <w:sz w:val="21"/>
          <w:szCs w:val="21"/>
        </w:rPr>
      </w:pPr>
      <w:bookmarkStart w:id="2" w:name="_Toc2123"/>
      <w:r>
        <w:rPr>
          <w:rFonts w:hint="eastAsia" w:ascii="宋体" w:hAnsi="宋体" w:eastAsia="宋体" w:cs="宋体"/>
          <w:sz w:val="21"/>
          <w:szCs w:val="21"/>
        </w:rPr>
        <w:t>竞买人申购</w:t>
      </w:r>
      <w:bookmarkEnd w:id="2"/>
    </w:p>
    <w:p>
      <w:pPr>
        <w:ind w:firstLine="420" w:firstLineChars="200"/>
      </w:pPr>
      <w:r>
        <w:rPr>
          <w:rFonts w:hint="eastAsia" w:ascii="宋体" w:hAnsi="宋体" w:eastAsia="宋体" w:cs="宋体"/>
          <w:szCs w:val="21"/>
        </w:rPr>
        <w:t>在权益类交易子系统(</w:t>
      </w:r>
      <w:r>
        <w:rPr>
          <w:rFonts w:hint="eastAsia" w:ascii="宋体" w:hAnsi="宋体" w:eastAsia="宋体" w:cs="宋体"/>
          <w:szCs w:val="21"/>
          <w:lang w:eastAsia="zh-CN"/>
        </w:rPr>
        <w:t>土地使用权</w:t>
      </w:r>
      <w:r>
        <w:rPr>
          <w:rFonts w:hint="eastAsia" w:ascii="宋体" w:hAnsi="宋体" w:eastAsia="宋体" w:cs="宋体"/>
          <w:szCs w:val="21"/>
        </w:rPr>
        <w:t>）</w:t>
      </w:r>
      <w:r>
        <w:rPr>
          <w:rFonts w:hint="eastAsia" w:ascii="宋体" w:hAnsi="宋体" w:eastAsia="宋体" w:cs="宋体"/>
          <w:szCs w:val="21"/>
          <w:lang w:val="en-US" w:eastAsia="zh-CN"/>
        </w:rPr>
        <w:t>报名有效期</w:t>
      </w:r>
      <w:r>
        <w:rPr>
          <w:rFonts w:hint="eastAsia" w:ascii="宋体" w:hAnsi="宋体" w:eastAsia="宋体" w:cs="宋体"/>
          <w:szCs w:val="21"/>
        </w:rPr>
        <w:t>进行报名，在保证金缴纳截止时间缴纳保证金。</w:t>
      </w:r>
    </w:p>
    <w:p>
      <w:pPr>
        <w:pStyle w:val="11"/>
        <w:numPr>
          <w:ilvl w:val="0"/>
          <w:numId w:val="2"/>
        </w:numPr>
        <w:ind w:right="101"/>
        <w:rPr>
          <w:rFonts w:hint="eastAsia" w:ascii="宋体" w:hAnsi="宋体" w:eastAsia="宋体" w:cs="宋体"/>
          <w:sz w:val="21"/>
          <w:szCs w:val="21"/>
        </w:rPr>
      </w:pPr>
      <w:r>
        <w:rPr>
          <w:rFonts w:hint="eastAsia" w:ascii="宋体" w:hAnsi="宋体" w:eastAsia="宋体" w:cs="宋体"/>
          <w:sz w:val="21"/>
          <w:szCs w:val="21"/>
        </w:rPr>
        <w:t>在“招标公告-项目类型（</w:t>
      </w:r>
      <w:r>
        <w:rPr>
          <w:rFonts w:hint="eastAsia" w:ascii="宋体" w:hAnsi="宋体" w:eastAsia="宋体" w:cs="宋体"/>
          <w:sz w:val="21"/>
          <w:szCs w:val="21"/>
          <w:lang w:eastAsia="zh-CN"/>
        </w:rPr>
        <w:t>土地交易</w:t>
      </w:r>
      <w:r>
        <w:rPr>
          <w:rFonts w:hint="eastAsia" w:ascii="宋体" w:hAnsi="宋体" w:eastAsia="宋体" w:cs="宋体"/>
          <w:sz w:val="21"/>
          <w:szCs w:val="21"/>
        </w:rPr>
        <w:t>）”，选择报名的项目。</w:t>
      </w:r>
    </w:p>
    <w:p>
      <w:pPr>
        <w:pStyle w:val="11"/>
        <w:numPr>
          <w:ilvl w:val="0"/>
          <w:numId w:val="0"/>
        </w:numPr>
        <w:ind w:leftChars="0" w:right="101" w:rightChars="0"/>
        <w:rPr>
          <w:rFonts w:hint="eastAsia" w:ascii="宋体" w:hAnsi="宋体" w:eastAsia="宋体" w:cs="宋体"/>
          <w:sz w:val="21"/>
          <w:szCs w:val="21"/>
        </w:rPr>
      </w:pPr>
      <w:r>
        <w:drawing>
          <wp:inline distT="0" distB="0" distL="114300" distR="114300">
            <wp:extent cx="5273040" cy="861695"/>
            <wp:effectExtent l="0" t="0" r="3810" b="146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5273040" cy="861695"/>
                    </a:xfrm>
                    <a:prstGeom prst="rect">
                      <a:avLst/>
                    </a:prstGeom>
                    <a:noFill/>
                    <a:ln>
                      <a:noFill/>
                    </a:ln>
                  </pic:spPr>
                </pic:pic>
              </a:graphicData>
            </a:graphic>
          </wp:inline>
        </w:drawing>
      </w:r>
    </w:p>
    <w:p>
      <w:pPr>
        <w:pStyle w:val="11"/>
        <w:numPr>
          <w:ilvl w:val="0"/>
          <w:numId w:val="2"/>
        </w:numPr>
        <w:ind w:right="101"/>
        <w:rPr>
          <w:rFonts w:ascii="宋体" w:hAnsi="宋体" w:eastAsia="宋体" w:cs="宋体"/>
          <w:sz w:val="21"/>
          <w:szCs w:val="21"/>
        </w:rPr>
      </w:pPr>
      <w:r>
        <w:rPr>
          <w:rFonts w:hint="eastAsia" w:ascii="宋体" w:hAnsi="宋体" w:eastAsia="宋体" w:cs="宋体"/>
          <w:sz w:val="21"/>
          <w:szCs w:val="21"/>
        </w:rPr>
        <w:t>通过</w:t>
      </w:r>
      <w:r>
        <w:drawing>
          <wp:inline distT="0" distB="0" distL="114300" distR="114300">
            <wp:extent cx="152400" cy="161925"/>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152400" cy="161925"/>
                    </a:xfrm>
                    <a:prstGeom prst="rect">
                      <a:avLst/>
                    </a:prstGeom>
                    <a:noFill/>
                    <a:ln>
                      <a:noFill/>
                    </a:ln>
                  </pic:spPr>
                </pic:pic>
              </a:graphicData>
            </a:graphic>
          </wp:inline>
        </w:drawing>
      </w:r>
      <w:r>
        <w:rPr>
          <w:rFonts w:hint="eastAsia" w:ascii="宋体" w:hAnsi="宋体" w:eastAsia="宋体" w:cs="宋体"/>
          <w:sz w:val="21"/>
          <w:szCs w:val="21"/>
        </w:rPr>
        <w:t>进入</w:t>
      </w:r>
      <w:r>
        <w:rPr>
          <w:rFonts w:hint="eastAsia" w:ascii="宋体" w:hAnsi="宋体" w:eastAsia="宋体" w:cs="宋体"/>
          <w:sz w:val="21"/>
          <w:szCs w:val="21"/>
          <w:lang w:eastAsia="zh-CN"/>
        </w:rPr>
        <w:t>土地使用权</w:t>
      </w:r>
      <w:r>
        <w:rPr>
          <w:rFonts w:hint="eastAsia" w:ascii="宋体" w:hAnsi="宋体" w:eastAsia="宋体" w:cs="宋体"/>
          <w:sz w:val="21"/>
          <w:szCs w:val="21"/>
        </w:rPr>
        <w:t>申购页面。</w:t>
      </w:r>
    </w:p>
    <w:p>
      <w:pPr>
        <w:pStyle w:val="11"/>
        <w:ind w:right="101" w:firstLine="0"/>
      </w:pPr>
      <w:r>
        <w:drawing>
          <wp:inline distT="0" distB="0" distL="114300" distR="114300">
            <wp:extent cx="5271770" cy="2456180"/>
            <wp:effectExtent l="0" t="0" r="5080" b="127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9"/>
                    <a:stretch>
                      <a:fillRect/>
                    </a:stretch>
                  </pic:blipFill>
                  <pic:spPr>
                    <a:xfrm>
                      <a:off x="0" y="0"/>
                      <a:ext cx="5271770" cy="2456180"/>
                    </a:xfrm>
                    <a:prstGeom prst="rect">
                      <a:avLst/>
                    </a:prstGeom>
                    <a:noFill/>
                    <a:ln>
                      <a:noFill/>
                    </a:ln>
                  </pic:spPr>
                </pic:pic>
              </a:graphicData>
            </a:graphic>
          </wp:inline>
        </w:drawing>
      </w:r>
    </w:p>
    <w:p>
      <w:pPr>
        <w:pStyle w:val="3"/>
      </w:pPr>
      <w:r>
        <w:rPr>
          <w:rFonts w:hint="eastAsia"/>
        </w:rPr>
        <w:t>阅读报名规则</w:t>
      </w:r>
    </w:p>
    <w:p>
      <w:pPr>
        <w:pStyle w:val="11"/>
        <w:numPr>
          <w:ilvl w:val="0"/>
          <w:numId w:val="3"/>
        </w:numPr>
        <w:ind w:right="101"/>
        <w:rPr>
          <w:rFonts w:ascii="宋体" w:hAnsi="宋体" w:eastAsia="宋体" w:cs="宋体"/>
          <w:sz w:val="21"/>
          <w:szCs w:val="21"/>
        </w:rPr>
      </w:pPr>
      <w:r>
        <w:rPr>
          <w:rFonts w:hint="eastAsia" w:ascii="宋体" w:hAnsi="宋体" w:eastAsia="宋体" w:cs="宋体"/>
          <w:sz w:val="21"/>
          <w:szCs w:val="21"/>
        </w:rPr>
        <w:t>阅读报名规则，点击【同意】进入下一步，点击【不同意】申购暂停。</w:t>
      </w:r>
    </w:p>
    <w:p>
      <w:pPr>
        <w:pStyle w:val="11"/>
        <w:ind w:right="101" w:firstLine="0"/>
        <w:rPr>
          <w:rFonts w:ascii="宋体" w:hAnsi="宋体" w:eastAsia="宋体" w:cs="宋体"/>
          <w:sz w:val="21"/>
          <w:szCs w:val="21"/>
        </w:rPr>
      </w:pPr>
      <w:r>
        <w:drawing>
          <wp:inline distT="0" distB="0" distL="114300" distR="114300">
            <wp:extent cx="5261610" cy="1761490"/>
            <wp:effectExtent l="0" t="0" r="15240" b="1016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0"/>
                    <a:stretch>
                      <a:fillRect/>
                    </a:stretch>
                  </pic:blipFill>
                  <pic:spPr>
                    <a:xfrm>
                      <a:off x="0" y="0"/>
                      <a:ext cx="5261610" cy="1761490"/>
                    </a:xfrm>
                    <a:prstGeom prst="rect">
                      <a:avLst/>
                    </a:prstGeom>
                    <a:noFill/>
                    <a:ln>
                      <a:noFill/>
                    </a:ln>
                  </pic:spPr>
                </pic:pic>
              </a:graphicData>
            </a:graphic>
          </wp:inline>
        </w:drawing>
      </w:r>
    </w:p>
    <w:p>
      <w:pPr>
        <w:pStyle w:val="3"/>
      </w:pPr>
      <w:r>
        <w:rPr>
          <w:rFonts w:hint="eastAsia"/>
        </w:rPr>
        <w:t>选择竞买方式</w:t>
      </w:r>
    </w:p>
    <w:p>
      <w:r>
        <w:rPr>
          <w:rFonts w:hint="eastAsia"/>
        </w:rPr>
        <w:t>竞买方式包括【单独申请】和【联合申请】，若联合申购则选择【联合申请】。</w:t>
      </w:r>
    </w:p>
    <w:p/>
    <w:p>
      <w:pPr>
        <w:numPr>
          <w:ilvl w:val="0"/>
          <w:numId w:val="4"/>
        </w:numPr>
      </w:pPr>
      <w:r>
        <w:rPr>
          <w:rFonts w:hint="eastAsia"/>
        </w:rPr>
        <w:t>选择【单独申请】，不进行联合申购。</w:t>
      </w:r>
    </w:p>
    <w:p>
      <w:r>
        <w:drawing>
          <wp:inline distT="0" distB="0" distL="114300" distR="114300">
            <wp:extent cx="5267960" cy="1706880"/>
            <wp:effectExtent l="0" t="0" r="8890" b="762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1"/>
                    <a:stretch>
                      <a:fillRect/>
                    </a:stretch>
                  </pic:blipFill>
                  <pic:spPr>
                    <a:xfrm>
                      <a:off x="0" y="0"/>
                      <a:ext cx="5267960" cy="1706880"/>
                    </a:xfrm>
                    <a:prstGeom prst="rect">
                      <a:avLst/>
                    </a:prstGeom>
                    <a:noFill/>
                    <a:ln>
                      <a:noFill/>
                    </a:ln>
                  </pic:spPr>
                </pic:pic>
              </a:graphicData>
            </a:graphic>
          </wp:inline>
        </w:drawing>
      </w:r>
    </w:p>
    <w:p>
      <w:pPr>
        <w:rPr>
          <w:rFonts w:hint="default" w:eastAsiaTheme="minorEastAsia"/>
          <w:lang w:val="en-US" w:eastAsia="zh-CN"/>
        </w:rPr>
      </w:pPr>
      <w:r>
        <w:rPr>
          <w:rFonts w:hint="eastAsia"/>
          <w:lang w:val="en-US" w:eastAsia="zh-CN"/>
        </w:rPr>
        <w:t>备注：当项目设置允许联合报名时则出现联合申购选项，否则只允许单独申请。</w:t>
      </w:r>
    </w:p>
    <w:p>
      <w:pPr>
        <w:pStyle w:val="4"/>
        <w:tabs>
          <w:tab w:val="left" w:pos="0"/>
          <w:tab w:val="clear" w:pos="567"/>
        </w:tabs>
        <w:ind w:left="575" w:hanging="575"/>
      </w:pPr>
      <w:r>
        <w:rPr>
          <w:rFonts w:hint="eastAsia"/>
        </w:rPr>
        <w:t>联合申请申明</w:t>
      </w:r>
    </w:p>
    <w:p/>
    <w:p>
      <w:pPr>
        <w:numPr>
          <w:ilvl w:val="0"/>
          <w:numId w:val="5"/>
        </w:numPr>
      </w:pPr>
      <w:r>
        <w:rPr>
          <w:rFonts w:hint="eastAsia"/>
        </w:rPr>
        <w:t>选择【联合申请】，接入添加联合单位信息页面。</w:t>
      </w:r>
    </w:p>
    <w:p>
      <w:r>
        <w:drawing>
          <wp:inline distT="0" distB="0" distL="0" distR="0">
            <wp:extent cx="5274310" cy="1089025"/>
            <wp:effectExtent l="0" t="0" r="254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12"/>
                    <a:stretch>
                      <a:fillRect/>
                    </a:stretch>
                  </pic:blipFill>
                  <pic:spPr>
                    <a:xfrm>
                      <a:off x="0" y="0"/>
                      <a:ext cx="5274310" cy="1089025"/>
                    </a:xfrm>
                    <a:prstGeom prst="rect">
                      <a:avLst/>
                    </a:prstGeom>
                  </pic:spPr>
                </pic:pic>
              </a:graphicData>
            </a:graphic>
          </wp:inline>
        </w:drawing>
      </w:r>
    </w:p>
    <w:p>
      <w:pPr>
        <w:numPr>
          <w:ilvl w:val="0"/>
          <w:numId w:val="6"/>
        </w:numPr>
        <w:ind w:firstLine="420" w:firstLineChars="200"/>
      </w:pPr>
      <w:r>
        <w:rPr>
          <w:rFonts w:hint="eastAsia"/>
        </w:rPr>
        <w:t>点击【新增】，新增加联合单位，输入单位名称、统一社会信用代码、调整出资比例。</w:t>
      </w:r>
    </w:p>
    <w:p>
      <w:r>
        <w:drawing>
          <wp:inline distT="0" distB="0" distL="0" distR="0">
            <wp:extent cx="5274310" cy="1271905"/>
            <wp:effectExtent l="0" t="0" r="2540" b="444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13"/>
                    <a:stretch>
                      <a:fillRect/>
                    </a:stretch>
                  </pic:blipFill>
                  <pic:spPr>
                    <a:xfrm>
                      <a:off x="0" y="0"/>
                      <a:ext cx="5274310" cy="1271905"/>
                    </a:xfrm>
                    <a:prstGeom prst="rect">
                      <a:avLst/>
                    </a:prstGeom>
                  </pic:spPr>
                </pic:pic>
              </a:graphicData>
            </a:graphic>
          </wp:inline>
        </w:drawing>
      </w:r>
    </w:p>
    <w:p>
      <w:r>
        <w:rPr>
          <w:rFonts w:hint="eastAsia"/>
        </w:rPr>
        <w:t>备注：出资比例加起来100%。</w:t>
      </w:r>
    </w:p>
    <w:p/>
    <w:p>
      <w:pPr>
        <w:numPr>
          <w:ilvl w:val="0"/>
          <w:numId w:val="6"/>
        </w:numPr>
        <w:ind w:firstLine="420" w:firstLineChars="200"/>
      </w:pPr>
      <w:r>
        <w:rPr>
          <w:rFonts w:hint="eastAsia"/>
        </w:rPr>
        <w:t>填写无误，点击【下一步】。</w:t>
      </w:r>
    </w:p>
    <w:p/>
    <w:p>
      <w:r>
        <w:drawing>
          <wp:inline distT="0" distB="0" distL="0" distR="0">
            <wp:extent cx="5274310" cy="1089660"/>
            <wp:effectExtent l="0" t="0" r="254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14"/>
                    <a:stretch>
                      <a:fillRect/>
                    </a:stretch>
                  </pic:blipFill>
                  <pic:spPr>
                    <a:xfrm>
                      <a:off x="0" y="0"/>
                      <a:ext cx="5274310" cy="1089660"/>
                    </a:xfrm>
                    <a:prstGeom prst="rect">
                      <a:avLst/>
                    </a:prstGeom>
                  </pic:spPr>
                </pic:pic>
              </a:graphicData>
            </a:graphic>
          </wp:inline>
        </w:drawing>
      </w:r>
    </w:p>
    <w:p>
      <w:pPr>
        <w:pStyle w:val="3"/>
      </w:pPr>
      <w:r>
        <w:rPr>
          <w:rFonts w:hint="eastAsia"/>
        </w:rPr>
        <w:t>选择是否登记新公司</w:t>
      </w:r>
    </w:p>
    <w:p>
      <w:pPr>
        <w:numPr>
          <w:ilvl w:val="0"/>
          <w:numId w:val="7"/>
        </w:numPr>
      </w:pPr>
      <w:r>
        <w:rPr>
          <w:rFonts w:hint="eastAsia"/>
        </w:rPr>
        <w:t>若以新公司申购，则选择【登记公司】，否则选择【不登记公司】。</w:t>
      </w:r>
    </w:p>
    <w:p/>
    <w:p>
      <w:r>
        <w:drawing>
          <wp:inline distT="0" distB="0" distL="114300" distR="114300">
            <wp:extent cx="5260340" cy="1905000"/>
            <wp:effectExtent l="0" t="0" r="16510" b="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5"/>
                    <a:stretch>
                      <a:fillRect/>
                    </a:stretch>
                  </pic:blipFill>
                  <pic:spPr>
                    <a:xfrm>
                      <a:off x="0" y="0"/>
                      <a:ext cx="5260340" cy="1905000"/>
                    </a:xfrm>
                    <a:prstGeom prst="rect">
                      <a:avLst/>
                    </a:prstGeom>
                    <a:noFill/>
                    <a:ln>
                      <a:noFill/>
                    </a:ln>
                  </pic:spPr>
                </pic:pic>
              </a:graphicData>
            </a:graphic>
          </wp:inline>
        </w:drawing>
      </w:r>
    </w:p>
    <w:p/>
    <w:p>
      <w:pPr>
        <w:pStyle w:val="3"/>
      </w:pPr>
      <w:r>
        <w:rPr>
          <w:rFonts w:hint="eastAsia"/>
        </w:rPr>
        <w:t>选择是否登记新公司</w:t>
      </w:r>
    </w:p>
    <w:p>
      <w:pPr>
        <w:pStyle w:val="4"/>
        <w:tabs>
          <w:tab w:val="left" w:pos="0"/>
          <w:tab w:val="clear" w:pos="567"/>
        </w:tabs>
        <w:ind w:left="575" w:hanging="575"/>
      </w:pPr>
      <w:r>
        <w:rPr>
          <w:rFonts w:hint="eastAsia"/>
        </w:rPr>
        <w:t>申请人信息填写</w:t>
      </w:r>
    </w:p>
    <w:p>
      <w:pPr>
        <w:numPr>
          <w:ilvl w:val="0"/>
          <w:numId w:val="8"/>
        </w:numPr>
      </w:pPr>
      <w:r>
        <w:rPr>
          <w:rFonts w:hint="eastAsia"/>
        </w:rPr>
        <w:t>选择【不登记公司】进入【申购人信息填写】。</w:t>
      </w:r>
    </w:p>
    <w:p/>
    <w:p>
      <w:r>
        <w:drawing>
          <wp:inline distT="0" distB="0" distL="114300" distR="114300">
            <wp:extent cx="5261610" cy="1872615"/>
            <wp:effectExtent l="0" t="0" r="15240" b="13335"/>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pic:cNvPicPr>
                  </pic:nvPicPr>
                  <pic:blipFill>
                    <a:blip r:embed="rId16"/>
                    <a:stretch>
                      <a:fillRect/>
                    </a:stretch>
                  </pic:blipFill>
                  <pic:spPr>
                    <a:xfrm>
                      <a:off x="0" y="0"/>
                      <a:ext cx="5261610" cy="1872615"/>
                    </a:xfrm>
                    <a:prstGeom prst="rect">
                      <a:avLst/>
                    </a:prstGeom>
                    <a:noFill/>
                    <a:ln>
                      <a:noFill/>
                    </a:ln>
                  </pic:spPr>
                </pic:pic>
              </a:graphicData>
            </a:graphic>
          </wp:inline>
        </w:drawing>
      </w:r>
    </w:p>
    <w:p>
      <w:pPr>
        <w:pStyle w:val="4"/>
        <w:tabs>
          <w:tab w:val="left" w:pos="0"/>
          <w:tab w:val="clear" w:pos="567"/>
        </w:tabs>
        <w:ind w:left="575" w:hanging="575"/>
      </w:pPr>
      <w:r>
        <w:rPr>
          <w:rFonts w:hint="eastAsia"/>
        </w:rPr>
        <w:t>登记新公司申明</w:t>
      </w:r>
    </w:p>
    <w:p>
      <w:pPr>
        <w:numPr>
          <w:ilvl w:val="0"/>
          <w:numId w:val="9"/>
        </w:numPr>
      </w:pPr>
      <w:r>
        <w:rPr>
          <w:rFonts w:hint="eastAsia"/>
        </w:rPr>
        <w:t>选择【登记公司】进入【登记新公司申明】。</w:t>
      </w:r>
    </w:p>
    <w:p>
      <w:r>
        <w:drawing>
          <wp:inline distT="0" distB="0" distL="114300" distR="114300">
            <wp:extent cx="5260975" cy="1663065"/>
            <wp:effectExtent l="0" t="0" r="15875" b="13335"/>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icPr>
                  <pic:blipFill>
                    <a:blip r:embed="rId17"/>
                    <a:stretch>
                      <a:fillRect/>
                    </a:stretch>
                  </pic:blipFill>
                  <pic:spPr>
                    <a:xfrm>
                      <a:off x="0" y="0"/>
                      <a:ext cx="5260975" cy="1663065"/>
                    </a:xfrm>
                    <a:prstGeom prst="rect">
                      <a:avLst/>
                    </a:prstGeom>
                    <a:noFill/>
                    <a:ln>
                      <a:noFill/>
                    </a:ln>
                  </pic:spPr>
                </pic:pic>
              </a:graphicData>
            </a:graphic>
          </wp:inline>
        </w:drawing>
      </w:r>
    </w:p>
    <w:p/>
    <w:p>
      <w:pPr>
        <w:pStyle w:val="3"/>
      </w:pPr>
      <w:r>
        <w:rPr>
          <w:rFonts w:hint="eastAsia"/>
        </w:rPr>
        <w:t>填写竞买申请书</w:t>
      </w:r>
    </w:p>
    <w:p>
      <w:pPr>
        <w:numPr>
          <w:ilvl w:val="0"/>
          <w:numId w:val="10"/>
        </w:numPr>
      </w:pPr>
      <w:r>
        <w:rPr>
          <w:rFonts w:hint="eastAsia"/>
        </w:rPr>
        <w:t>上传报名文件和授权申请书；</w:t>
      </w:r>
    </w:p>
    <w:p>
      <w:r>
        <w:drawing>
          <wp:inline distT="0" distB="0" distL="114300" distR="114300">
            <wp:extent cx="5264785" cy="3587750"/>
            <wp:effectExtent l="0" t="0" r="12065" b="12700"/>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pic:cNvPicPr>
                  </pic:nvPicPr>
                  <pic:blipFill>
                    <a:blip r:embed="rId18"/>
                    <a:stretch>
                      <a:fillRect/>
                    </a:stretch>
                  </pic:blipFill>
                  <pic:spPr>
                    <a:xfrm>
                      <a:off x="0" y="0"/>
                      <a:ext cx="5264785" cy="3587750"/>
                    </a:xfrm>
                    <a:prstGeom prst="rect">
                      <a:avLst/>
                    </a:prstGeom>
                    <a:noFill/>
                    <a:ln>
                      <a:noFill/>
                    </a:ln>
                  </pic:spPr>
                </pic:pic>
              </a:graphicData>
            </a:graphic>
          </wp:inline>
        </w:drawing>
      </w:r>
    </w:p>
    <w:p>
      <w:pPr>
        <w:numPr>
          <w:ilvl w:val="0"/>
          <w:numId w:val="10"/>
        </w:numPr>
        <w:rPr>
          <w:rFonts w:hint="eastAsia"/>
        </w:rPr>
      </w:pPr>
      <w:r>
        <w:rPr>
          <w:rFonts w:hint="eastAsia"/>
        </w:rPr>
        <w:t>无误点【申请】，进入下一步。</w:t>
      </w:r>
    </w:p>
    <w:p>
      <w:pPr>
        <w:pStyle w:val="2"/>
        <w:tabs>
          <w:tab w:val="left" w:pos="0"/>
        </w:tabs>
      </w:pPr>
      <w:bookmarkStart w:id="3" w:name="_Toc12453"/>
      <w:r>
        <w:rPr>
          <w:rFonts w:hint="eastAsia"/>
          <w:lang w:val="en-US" w:eastAsia="zh-CN"/>
        </w:rPr>
        <w:t>资格报名查看</w:t>
      </w:r>
      <w:bookmarkEnd w:id="3"/>
    </w:p>
    <w:p>
      <w:pPr>
        <w:numPr>
          <w:ilvl w:val="0"/>
          <w:numId w:val="11"/>
        </w:numPr>
        <w:rPr>
          <w:rFonts w:hint="eastAsia"/>
        </w:rPr>
      </w:pPr>
      <w:r>
        <w:rPr>
          <w:rFonts w:hint="eastAsia"/>
          <w:lang w:val="en-US" w:eastAsia="zh-CN"/>
        </w:rPr>
        <w:t>在</w:t>
      </w:r>
      <w:r>
        <w:rPr>
          <w:rFonts w:hint="eastAsia"/>
        </w:rPr>
        <w:t>【</w:t>
      </w:r>
      <w:r>
        <w:rPr>
          <w:rFonts w:hint="eastAsia"/>
          <w:lang w:val="en-US" w:eastAsia="zh-CN"/>
        </w:rPr>
        <w:t>我的项目</w:t>
      </w:r>
      <w:r>
        <w:rPr>
          <w:rFonts w:hint="eastAsia"/>
        </w:rPr>
        <w:t>】</w:t>
      </w:r>
      <w:r>
        <w:rPr>
          <w:rFonts w:hint="eastAsia"/>
          <w:lang w:val="en-US" w:eastAsia="zh-CN"/>
        </w:rPr>
        <w:t>查看报名的项目，通过</w:t>
      </w:r>
      <w:r>
        <w:rPr>
          <w:rFonts w:hint="eastAsia" w:ascii="宋体" w:hAnsi="宋体" w:eastAsia="宋体" w:cs="宋体"/>
          <w:sz w:val="21"/>
          <w:szCs w:val="21"/>
        </w:rPr>
        <w:drawing>
          <wp:inline distT="0" distB="0" distL="114300" distR="114300">
            <wp:extent cx="247650" cy="219075"/>
            <wp:effectExtent l="0" t="0" r="0" b="9525"/>
            <wp:docPr id="89"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6"/>
                    <pic:cNvPicPr>
                      <a:picLocks noChangeAspect="1"/>
                    </pic:cNvPicPr>
                  </pic:nvPicPr>
                  <pic:blipFill>
                    <a:blip r:embed="rId19"/>
                    <a:stretch>
                      <a:fillRect/>
                    </a:stretch>
                  </pic:blipFill>
                  <pic:spPr>
                    <a:xfrm>
                      <a:off x="0" y="0"/>
                      <a:ext cx="247650" cy="219075"/>
                    </a:xfrm>
                    <a:prstGeom prst="rect">
                      <a:avLst/>
                    </a:prstGeom>
                    <a:noFill/>
                    <a:ln>
                      <a:noFill/>
                    </a:ln>
                  </pic:spPr>
                </pic:pic>
              </a:graphicData>
            </a:graphic>
          </wp:inline>
        </w:drawing>
      </w:r>
      <w:r>
        <w:rPr>
          <w:rFonts w:hint="eastAsia" w:ascii="宋体" w:hAnsi="宋体" w:eastAsia="宋体" w:cs="宋体"/>
          <w:sz w:val="21"/>
          <w:szCs w:val="21"/>
          <w:lang w:val="en-US" w:eastAsia="zh-CN"/>
        </w:rPr>
        <w:t>进入业务</w:t>
      </w:r>
      <w:r>
        <w:rPr>
          <w:rFonts w:hint="eastAsia"/>
        </w:rPr>
        <w:t>。</w:t>
      </w:r>
    </w:p>
    <w:p>
      <w:pPr>
        <w:rPr>
          <w:rFonts w:hint="default"/>
          <w:lang w:val="en-US"/>
        </w:rPr>
      </w:pPr>
    </w:p>
    <w:p>
      <w:r>
        <w:drawing>
          <wp:inline distT="0" distB="0" distL="114300" distR="114300">
            <wp:extent cx="5261610" cy="680085"/>
            <wp:effectExtent l="0" t="0" r="15240" b="5715"/>
            <wp:docPr id="3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6"/>
                    <pic:cNvPicPr>
                      <a:picLocks noChangeAspect="1"/>
                    </pic:cNvPicPr>
                  </pic:nvPicPr>
                  <pic:blipFill>
                    <a:blip r:embed="rId20"/>
                    <a:stretch>
                      <a:fillRect/>
                    </a:stretch>
                  </pic:blipFill>
                  <pic:spPr>
                    <a:xfrm>
                      <a:off x="0" y="0"/>
                      <a:ext cx="5261610" cy="680085"/>
                    </a:xfrm>
                    <a:prstGeom prst="rect">
                      <a:avLst/>
                    </a:prstGeom>
                    <a:noFill/>
                    <a:ln>
                      <a:noFill/>
                    </a:ln>
                  </pic:spPr>
                </pic:pic>
              </a:graphicData>
            </a:graphic>
          </wp:inline>
        </w:drawing>
      </w:r>
    </w:p>
    <w:p>
      <w:pPr>
        <w:numPr>
          <w:ilvl w:val="0"/>
          <w:numId w:val="11"/>
        </w:numPr>
      </w:pPr>
      <w:r>
        <w:rPr>
          <w:rFonts w:hint="eastAsia"/>
          <w:lang w:val="en-US" w:eastAsia="zh-CN"/>
        </w:rPr>
        <w:t>查看报名申购审查情况。</w:t>
      </w:r>
    </w:p>
    <w:p>
      <w:r>
        <w:drawing>
          <wp:inline distT="0" distB="0" distL="114300" distR="114300">
            <wp:extent cx="5264785" cy="1422400"/>
            <wp:effectExtent l="0" t="0" r="12065" b="6350"/>
            <wp:docPr id="4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8"/>
                    <pic:cNvPicPr>
                      <a:picLocks noChangeAspect="1"/>
                    </pic:cNvPicPr>
                  </pic:nvPicPr>
                  <pic:blipFill>
                    <a:blip r:embed="rId21"/>
                    <a:stretch>
                      <a:fillRect/>
                    </a:stretch>
                  </pic:blipFill>
                  <pic:spPr>
                    <a:xfrm>
                      <a:off x="0" y="0"/>
                      <a:ext cx="5264785" cy="1422400"/>
                    </a:xfrm>
                    <a:prstGeom prst="rect">
                      <a:avLst/>
                    </a:prstGeom>
                    <a:noFill/>
                    <a:ln>
                      <a:noFill/>
                    </a:ln>
                  </pic:spPr>
                </pic:pic>
              </a:graphicData>
            </a:graphic>
          </wp:inline>
        </w:drawing>
      </w:r>
    </w:p>
    <w:p>
      <w:pPr>
        <w:pStyle w:val="2"/>
        <w:tabs>
          <w:tab w:val="left" w:pos="0"/>
        </w:tabs>
      </w:pPr>
      <w:bookmarkStart w:id="4" w:name="_Toc27145"/>
      <w:r>
        <w:rPr>
          <w:rFonts w:hint="eastAsia"/>
          <w:lang w:val="en-US" w:eastAsia="zh-CN"/>
        </w:rPr>
        <w:t>文件下载</w:t>
      </w:r>
      <w:bookmarkEnd w:id="4"/>
    </w:p>
    <w:p>
      <w:pPr>
        <w:numPr>
          <w:ilvl w:val="0"/>
          <w:numId w:val="12"/>
        </w:numPr>
      </w:pPr>
      <w:r>
        <w:rPr>
          <w:rFonts w:hint="eastAsia"/>
          <w:lang w:val="en-US" w:eastAsia="zh-CN"/>
        </w:rPr>
        <w:t>在</w:t>
      </w:r>
      <w:r>
        <w:rPr>
          <w:rFonts w:hint="eastAsia"/>
        </w:rPr>
        <w:t>【</w:t>
      </w:r>
      <w:r>
        <w:rPr>
          <w:rFonts w:hint="eastAsia"/>
          <w:lang w:val="en-US" w:eastAsia="zh-CN"/>
        </w:rPr>
        <w:t>我的项目</w:t>
      </w:r>
      <w:r>
        <w:rPr>
          <w:rFonts w:hint="eastAsia"/>
        </w:rPr>
        <w:t>】</w:t>
      </w:r>
      <w:r>
        <w:rPr>
          <w:rFonts w:hint="eastAsia"/>
          <w:lang w:val="en-US" w:eastAsia="zh-CN"/>
        </w:rPr>
        <w:t>查看报名的项目，通过</w:t>
      </w:r>
      <w:r>
        <w:rPr>
          <w:rFonts w:hint="eastAsia" w:ascii="宋体" w:hAnsi="宋体" w:eastAsia="宋体" w:cs="宋体"/>
          <w:sz w:val="21"/>
          <w:szCs w:val="21"/>
        </w:rPr>
        <w:drawing>
          <wp:inline distT="0" distB="0" distL="114300" distR="114300">
            <wp:extent cx="247650" cy="219075"/>
            <wp:effectExtent l="0" t="0" r="0" b="9525"/>
            <wp:docPr id="4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6"/>
                    <pic:cNvPicPr>
                      <a:picLocks noChangeAspect="1"/>
                    </pic:cNvPicPr>
                  </pic:nvPicPr>
                  <pic:blipFill>
                    <a:blip r:embed="rId19"/>
                    <a:stretch>
                      <a:fillRect/>
                    </a:stretch>
                  </pic:blipFill>
                  <pic:spPr>
                    <a:xfrm>
                      <a:off x="0" y="0"/>
                      <a:ext cx="247650" cy="219075"/>
                    </a:xfrm>
                    <a:prstGeom prst="rect">
                      <a:avLst/>
                    </a:prstGeom>
                    <a:noFill/>
                    <a:ln>
                      <a:noFill/>
                    </a:ln>
                  </pic:spPr>
                </pic:pic>
              </a:graphicData>
            </a:graphic>
          </wp:inline>
        </w:drawing>
      </w:r>
      <w:r>
        <w:rPr>
          <w:rFonts w:hint="eastAsia" w:ascii="宋体" w:hAnsi="宋体" w:eastAsia="宋体" w:cs="宋体"/>
          <w:sz w:val="21"/>
          <w:szCs w:val="21"/>
          <w:lang w:val="en-US" w:eastAsia="zh-CN"/>
        </w:rPr>
        <w:t>进入，点击“出让文件领取”。</w:t>
      </w:r>
    </w:p>
    <w:p/>
    <w:p>
      <w:r>
        <w:drawing>
          <wp:inline distT="0" distB="0" distL="114300" distR="114300">
            <wp:extent cx="5266690" cy="3326130"/>
            <wp:effectExtent l="0" t="0" r="10160" b="7620"/>
            <wp:docPr id="4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9"/>
                    <pic:cNvPicPr>
                      <a:picLocks noChangeAspect="1"/>
                    </pic:cNvPicPr>
                  </pic:nvPicPr>
                  <pic:blipFill>
                    <a:blip r:embed="rId22"/>
                    <a:stretch>
                      <a:fillRect/>
                    </a:stretch>
                  </pic:blipFill>
                  <pic:spPr>
                    <a:xfrm>
                      <a:off x="0" y="0"/>
                      <a:ext cx="5266690" cy="3326130"/>
                    </a:xfrm>
                    <a:prstGeom prst="rect">
                      <a:avLst/>
                    </a:prstGeom>
                    <a:noFill/>
                    <a:ln>
                      <a:noFill/>
                    </a:ln>
                  </pic:spPr>
                </pic:pic>
              </a:graphicData>
            </a:graphic>
          </wp:inline>
        </w:drawing>
      </w:r>
    </w:p>
    <w:p>
      <w:pPr>
        <w:pStyle w:val="2"/>
        <w:tabs>
          <w:tab w:val="left" w:pos="0"/>
        </w:tabs>
        <w:rPr>
          <w:rFonts w:hint="default" w:eastAsiaTheme="minorEastAsia"/>
          <w:lang w:val="en-US" w:eastAsia="zh-CN"/>
        </w:rPr>
      </w:pPr>
      <w:bookmarkStart w:id="5" w:name="_Toc10932"/>
      <w:r>
        <w:rPr>
          <w:rFonts w:hint="eastAsia"/>
          <w:lang w:val="en-US" w:eastAsia="zh-CN"/>
        </w:rPr>
        <w:t>保证金缴纳</w:t>
      </w:r>
      <w:bookmarkEnd w:id="5"/>
    </w:p>
    <w:p>
      <w:pPr>
        <w:numPr>
          <w:ilvl w:val="0"/>
          <w:numId w:val="13"/>
        </w:numPr>
        <w:rPr>
          <w:rFonts w:hint="default"/>
          <w:lang w:val="en-US" w:eastAsia="zh-CN"/>
        </w:rPr>
      </w:pPr>
      <w:r>
        <w:rPr>
          <w:rFonts w:hint="eastAsia"/>
          <w:lang w:val="en-US" w:eastAsia="zh-CN"/>
        </w:rPr>
        <w:t>在</w:t>
      </w:r>
      <w:r>
        <w:rPr>
          <w:rFonts w:hint="eastAsia"/>
        </w:rPr>
        <w:t>【</w:t>
      </w:r>
      <w:r>
        <w:rPr>
          <w:rFonts w:hint="eastAsia"/>
          <w:lang w:val="en-US" w:eastAsia="zh-CN"/>
        </w:rPr>
        <w:t>我的项目</w:t>
      </w:r>
      <w:r>
        <w:rPr>
          <w:rFonts w:hint="eastAsia"/>
        </w:rPr>
        <w:t>】</w:t>
      </w:r>
      <w:r>
        <w:rPr>
          <w:rFonts w:hint="eastAsia"/>
          <w:lang w:val="en-US" w:eastAsia="zh-CN"/>
        </w:rPr>
        <w:t>查看报名的项目，通过</w:t>
      </w:r>
      <w:r>
        <w:rPr>
          <w:rFonts w:hint="eastAsia" w:ascii="宋体" w:hAnsi="宋体" w:eastAsia="宋体" w:cs="宋体"/>
          <w:sz w:val="21"/>
          <w:szCs w:val="21"/>
        </w:rPr>
        <w:drawing>
          <wp:inline distT="0" distB="0" distL="114300" distR="114300">
            <wp:extent cx="247650" cy="219075"/>
            <wp:effectExtent l="0" t="0" r="0" b="9525"/>
            <wp:docPr id="4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6"/>
                    <pic:cNvPicPr>
                      <a:picLocks noChangeAspect="1"/>
                    </pic:cNvPicPr>
                  </pic:nvPicPr>
                  <pic:blipFill>
                    <a:blip r:embed="rId19"/>
                    <a:stretch>
                      <a:fillRect/>
                    </a:stretch>
                  </pic:blipFill>
                  <pic:spPr>
                    <a:xfrm>
                      <a:off x="0" y="0"/>
                      <a:ext cx="247650" cy="219075"/>
                    </a:xfrm>
                    <a:prstGeom prst="rect">
                      <a:avLst/>
                    </a:prstGeom>
                    <a:noFill/>
                    <a:ln>
                      <a:noFill/>
                    </a:ln>
                  </pic:spPr>
                </pic:pic>
              </a:graphicData>
            </a:graphic>
          </wp:inline>
        </w:drawing>
      </w:r>
      <w:r>
        <w:rPr>
          <w:rFonts w:hint="eastAsia" w:ascii="宋体" w:hAnsi="宋体" w:eastAsia="宋体" w:cs="宋体"/>
          <w:sz w:val="21"/>
          <w:szCs w:val="21"/>
          <w:lang w:val="en-US" w:eastAsia="zh-CN"/>
        </w:rPr>
        <w:t>进入业务。点击【保证金缴纳】查看。</w:t>
      </w:r>
    </w:p>
    <w:p>
      <w:pPr>
        <w:numPr>
          <w:ilvl w:val="0"/>
          <w:numId w:val="0"/>
        </w:numPr>
        <w:ind w:leftChars="0"/>
        <w:rPr>
          <w:rFonts w:hint="default"/>
          <w:lang w:val="en-US" w:eastAsia="zh-CN"/>
        </w:rPr>
      </w:pPr>
      <w:r>
        <w:drawing>
          <wp:inline distT="0" distB="0" distL="114300" distR="114300">
            <wp:extent cx="5260975" cy="1847215"/>
            <wp:effectExtent l="0" t="0" r="15875" b="635"/>
            <wp:docPr id="4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0"/>
                    <pic:cNvPicPr>
                      <a:picLocks noChangeAspect="1"/>
                    </pic:cNvPicPr>
                  </pic:nvPicPr>
                  <pic:blipFill>
                    <a:blip r:embed="rId23"/>
                    <a:stretch>
                      <a:fillRect/>
                    </a:stretch>
                  </pic:blipFill>
                  <pic:spPr>
                    <a:xfrm>
                      <a:off x="0" y="0"/>
                      <a:ext cx="5260975" cy="1847215"/>
                    </a:xfrm>
                    <a:prstGeom prst="rect">
                      <a:avLst/>
                    </a:prstGeom>
                    <a:noFill/>
                    <a:ln>
                      <a:noFill/>
                    </a:ln>
                  </pic:spPr>
                </pic:pic>
              </a:graphicData>
            </a:graphic>
          </wp:inline>
        </w:drawing>
      </w:r>
    </w:p>
    <w:p>
      <w:pPr>
        <w:numPr>
          <w:ilvl w:val="0"/>
          <w:numId w:val="13"/>
        </w:numPr>
        <w:rPr>
          <w:rFonts w:hint="default"/>
          <w:lang w:val="en-US" w:eastAsia="zh-CN"/>
        </w:rPr>
      </w:pPr>
      <w:r>
        <w:rPr>
          <w:rFonts w:hint="eastAsia"/>
          <w:lang w:val="en-US" w:eastAsia="zh-CN"/>
        </w:rPr>
        <w:t>按照要求继续保证金缴纳方式选择，当选择银行转账时竞买人选择保证金缴纳银行进行保证金虚拟子账号生成。</w:t>
      </w:r>
    </w:p>
    <w:p>
      <w:pPr>
        <w:numPr>
          <w:ilvl w:val="0"/>
          <w:numId w:val="0"/>
        </w:numPr>
        <w:ind w:leftChars="0"/>
      </w:pPr>
      <w:r>
        <w:drawing>
          <wp:inline distT="0" distB="0" distL="114300" distR="114300">
            <wp:extent cx="5269865" cy="1540510"/>
            <wp:effectExtent l="0" t="0" r="6985" b="2540"/>
            <wp:docPr id="4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1"/>
                    <pic:cNvPicPr>
                      <a:picLocks noChangeAspect="1"/>
                    </pic:cNvPicPr>
                  </pic:nvPicPr>
                  <pic:blipFill>
                    <a:blip r:embed="rId24"/>
                    <a:stretch>
                      <a:fillRect/>
                    </a:stretch>
                  </pic:blipFill>
                  <pic:spPr>
                    <a:xfrm>
                      <a:off x="0" y="0"/>
                      <a:ext cx="5269865" cy="1540510"/>
                    </a:xfrm>
                    <a:prstGeom prst="rect">
                      <a:avLst/>
                    </a:prstGeom>
                    <a:noFill/>
                    <a:ln>
                      <a:noFill/>
                    </a:ln>
                  </pic:spPr>
                </pic:pic>
              </a:graphicData>
            </a:graphic>
          </wp:inline>
        </w:drawing>
      </w:r>
    </w:p>
    <w:p>
      <w:pPr>
        <w:numPr>
          <w:ilvl w:val="0"/>
          <w:numId w:val="13"/>
        </w:numPr>
        <w:rPr>
          <w:rFonts w:hint="default"/>
          <w:lang w:val="en-US" w:eastAsia="zh-CN"/>
        </w:rPr>
      </w:pPr>
      <w:r>
        <w:rPr>
          <w:rFonts w:hint="eastAsia"/>
          <w:lang w:val="en-US" w:eastAsia="zh-CN"/>
        </w:rPr>
        <w:t>按照要求继续保证金缴纳方式选择，当选择纸质保函时竞买人需要上传保证金底单，点击【确认提交】。</w:t>
      </w:r>
    </w:p>
    <w:p>
      <w:pPr>
        <w:numPr>
          <w:ilvl w:val="0"/>
          <w:numId w:val="0"/>
        </w:numPr>
        <w:ind w:leftChars="0"/>
      </w:pPr>
    </w:p>
    <w:p>
      <w:pPr>
        <w:numPr>
          <w:ilvl w:val="0"/>
          <w:numId w:val="0"/>
        </w:numPr>
        <w:ind w:leftChars="0"/>
        <w:rPr>
          <w:rFonts w:hint="default"/>
          <w:lang w:val="en-US" w:eastAsia="zh-CN"/>
        </w:rPr>
      </w:pPr>
      <w:r>
        <w:drawing>
          <wp:inline distT="0" distB="0" distL="114300" distR="114300">
            <wp:extent cx="5265420" cy="1277620"/>
            <wp:effectExtent l="0" t="0" r="11430" b="17780"/>
            <wp:docPr id="5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2"/>
                    <pic:cNvPicPr>
                      <a:picLocks noChangeAspect="1"/>
                    </pic:cNvPicPr>
                  </pic:nvPicPr>
                  <pic:blipFill>
                    <a:blip r:embed="rId25"/>
                    <a:stretch>
                      <a:fillRect/>
                    </a:stretch>
                  </pic:blipFill>
                  <pic:spPr>
                    <a:xfrm>
                      <a:off x="0" y="0"/>
                      <a:ext cx="5265420" cy="1277620"/>
                    </a:xfrm>
                    <a:prstGeom prst="rect">
                      <a:avLst/>
                    </a:prstGeom>
                    <a:noFill/>
                    <a:ln>
                      <a:noFill/>
                    </a:ln>
                  </pic:spPr>
                </pic:pic>
              </a:graphicData>
            </a:graphic>
          </wp:inline>
        </w:drawing>
      </w:r>
    </w:p>
    <w:p>
      <w:pPr>
        <w:pStyle w:val="2"/>
        <w:tabs>
          <w:tab w:val="left" w:pos="0"/>
        </w:tabs>
      </w:pPr>
      <w:bookmarkStart w:id="6" w:name="_Toc21920"/>
      <w:r>
        <w:rPr>
          <w:rFonts w:hint="eastAsia"/>
          <w:lang w:val="en-US" w:eastAsia="zh-CN"/>
        </w:rPr>
        <w:t>获取竞买资格（无需资格审查）</w:t>
      </w:r>
      <w:bookmarkEnd w:id="6"/>
    </w:p>
    <w:p>
      <w:pPr>
        <w:numPr>
          <w:ilvl w:val="0"/>
          <w:numId w:val="14"/>
        </w:numPr>
        <w:rPr>
          <w:rFonts w:hint="default"/>
          <w:lang w:val="en-US" w:eastAsia="zh-CN"/>
        </w:rPr>
      </w:pPr>
      <w:r>
        <w:rPr>
          <w:rFonts w:hint="eastAsia"/>
          <w:lang w:val="en-US" w:eastAsia="zh-CN"/>
        </w:rPr>
        <w:t>在</w:t>
      </w:r>
      <w:r>
        <w:rPr>
          <w:rFonts w:hint="eastAsia"/>
        </w:rPr>
        <w:t>【</w:t>
      </w:r>
      <w:r>
        <w:rPr>
          <w:rFonts w:hint="eastAsia"/>
          <w:lang w:val="en-US" w:eastAsia="zh-CN"/>
        </w:rPr>
        <w:t>我的项目</w:t>
      </w:r>
      <w:r>
        <w:rPr>
          <w:rFonts w:hint="eastAsia"/>
        </w:rPr>
        <w:t>】</w:t>
      </w:r>
      <w:r>
        <w:rPr>
          <w:rFonts w:hint="eastAsia"/>
          <w:lang w:val="en-US" w:eastAsia="zh-CN"/>
        </w:rPr>
        <w:t>查看报名的项目，通过</w:t>
      </w:r>
      <w:r>
        <w:rPr>
          <w:rFonts w:hint="eastAsia" w:ascii="宋体" w:hAnsi="宋体" w:eastAsia="宋体" w:cs="宋体"/>
          <w:sz w:val="21"/>
          <w:szCs w:val="21"/>
        </w:rPr>
        <w:drawing>
          <wp:inline distT="0" distB="0" distL="114300" distR="114300">
            <wp:extent cx="247650" cy="219075"/>
            <wp:effectExtent l="0" t="0" r="0" b="9525"/>
            <wp:docPr id="52"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6"/>
                    <pic:cNvPicPr>
                      <a:picLocks noChangeAspect="1"/>
                    </pic:cNvPicPr>
                  </pic:nvPicPr>
                  <pic:blipFill>
                    <a:blip r:embed="rId19"/>
                    <a:stretch>
                      <a:fillRect/>
                    </a:stretch>
                  </pic:blipFill>
                  <pic:spPr>
                    <a:xfrm>
                      <a:off x="0" y="0"/>
                      <a:ext cx="247650" cy="219075"/>
                    </a:xfrm>
                    <a:prstGeom prst="rect">
                      <a:avLst/>
                    </a:prstGeom>
                    <a:noFill/>
                    <a:ln>
                      <a:noFill/>
                    </a:ln>
                  </pic:spPr>
                </pic:pic>
              </a:graphicData>
            </a:graphic>
          </wp:inline>
        </w:drawing>
      </w:r>
      <w:r>
        <w:rPr>
          <w:rFonts w:hint="eastAsia" w:ascii="宋体" w:hAnsi="宋体" w:eastAsia="宋体" w:cs="宋体"/>
          <w:sz w:val="21"/>
          <w:szCs w:val="21"/>
          <w:lang w:val="en-US" w:eastAsia="zh-CN"/>
        </w:rPr>
        <w:t>进入。点击【获取竞买资格】查看。</w:t>
      </w:r>
    </w:p>
    <w:p/>
    <w:p>
      <w:pPr>
        <w:rPr>
          <w:rFonts w:hint="eastAsia"/>
          <w:lang w:val="en-US" w:eastAsia="zh-CN"/>
        </w:rPr>
      </w:pPr>
    </w:p>
    <w:p>
      <w:r>
        <w:drawing>
          <wp:inline distT="0" distB="0" distL="114300" distR="114300">
            <wp:extent cx="5257800" cy="2042795"/>
            <wp:effectExtent l="0" t="0" r="0" b="14605"/>
            <wp:docPr id="5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3"/>
                    <pic:cNvPicPr>
                      <a:picLocks noChangeAspect="1"/>
                    </pic:cNvPicPr>
                  </pic:nvPicPr>
                  <pic:blipFill>
                    <a:blip r:embed="rId26"/>
                    <a:stretch>
                      <a:fillRect/>
                    </a:stretch>
                  </pic:blipFill>
                  <pic:spPr>
                    <a:xfrm>
                      <a:off x="0" y="0"/>
                      <a:ext cx="5257800" cy="2042795"/>
                    </a:xfrm>
                    <a:prstGeom prst="rect">
                      <a:avLst/>
                    </a:prstGeom>
                    <a:noFill/>
                    <a:ln>
                      <a:noFill/>
                    </a:ln>
                  </pic:spPr>
                </pic:pic>
              </a:graphicData>
            </a:graphic>
          </wp:inline>
        </w:drawing>
      </w:r>
    </w:p>
    <w:p>
      <w:pPr>
        <w:numPr>
          <w:ilvl w:val="0"/>
          <w:numId w:val="14"/>
        </w:numPr>
        <w:rPr>
          <w:rFonts w:hint="eastAsia"/>
          <w:lang w:val="en-US" w:eastAsia="zh-CN"/>
        </w:rPr>
      </w:pPr>
      <w:r>
        <w:rPr>
          <w:rFonts w:hint="eastAsia"/>
          <w:lang w:val="en-US" w:eastAsia="zh-CN"/>
        </w:rPr>
        <w:t>若选择“银行转账”方式，则根据生成的保证金虚拟子账号，在保证金缴纳截止时间前银行转账，缴纳足够保证金，点击【保证金查询】，修改缴纳账号和缴纳账号户名，点击【查询】。当已缴纳金额不低于需缴纳额时保证金已缴纳足额。</w:t>
      </w:r>
    </w:p>
    <w:p>
      <w:pPr>
        <w:numPr>
          <w:ilvl w:val="0"/>
          <w:numId w:val="0"/>
        </w:numPr>
        <w:ind w:leftChars="0"/>
      </w:pPr>
      <w:r>
        <w:drawing>
          <wp:inline distT="0" distB="0" distL="114300" distR="114300">
            <wp:extent cx="5268595" cy="1794510"/>
            <wp:effectExtent l="0" t="0" r="8255" b="15240"/>
            <wp:docPr id="5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5"/>
                    <pic:cNvPicPr>
                      <a:picLocks noChangeAspect="1"/>
                    </pic:cNvPicPr>
                  </pic:nvPicPr>
                  <pic:blipFill>
                    <a:blip r:embed="rId27"/>
                    <a:stretch>
                      <a:fillRect/>
                    </a:stretch>
                  </pic:blipFill>
                  <pic:spPr>
                    <a:xfrm>
                      <a:off x="0" y="0"/>
                      <a:ext cx="5268595" cy="1794510"/>
                    </a:xfrm>
                    <a:prstGeom prst="rect">
                      <a:avLst/>
                    </a:prstGeom>
                    <a:noFill/>
                    <a:ln>
                      <a:noFill/>
                    </a:ln>
                  </pic:spPr>
                </pic:pic>
              </a:graphicData>
            </a:graphic>
          </wp:inline>
        </w:drawing>
      </w:r>
    </w:p>
    <w:p>
      <w:pPr>
        <w:numPr>
          <w:ilvl w:val="0"/>
          <w:numId w:val="0"/>
        </w:numPr>
        <w:ind w:leftChars="0"/>
      </w:pPr>
    </w:p>
    <w:p>
      <w:pPr>
        <w:numPr>
          <w:ilvl w:val="0"/>
          <w:numId w:val="0"/>
        </w:numPr>
        <w:ind w:leftChars="0"/>
      </w:pPr>
    </w:p>
    <w:p>
      <w:pPr>
        <w:numPr>
          <w:ilvl w:val="0"/>
          <w:numId w:val="14"/>
        </w:numPr>
        <w:rPr>
          <w:rFonts w:hint="eastAsia"/>
          <w:lang w:val="en-US" w:eastAsia="zh-CN"/>
        </w:rPr>
      </w:pPr>
      <w:r>
        <w:rPr>
          <w:rFonts w:hint="eastAsia"/>
          <w:lang w:val="en-US" w:eastAsia="zh-CN"/>
        </w:rPr>
        <w:t>当若选择“银行转账”方式查询到缴纳足额保证金后，或者采用保函方式则代理机构审核保函审核通过后，点击【资格确认书】。</w:t>
      </w:r>
    </w:p>
    <w:p>
      <w:pPr>
        <w:numPr>
          <w:ilvl w:val="0"/>
          <w:numId w:val="0"/>
        </w:numPr>
        <w:ind w:leftChars="0"/>
        <w:rPr>
          <w:rFonts w:hint="eastAsia"/>
          <w:lang w:val="en-US" w:eastAsia="zh-CN"/>
        </w:rPr>
      </w:pPr>
    </w:p>
    <w:p>
      <w:pPr>
        <w:numPr>
          <w:ilvl w:val="0"/>
          <w:numId w:val="0"/>
        </w:numPr>
        <w:ind w:leftChars="0"/>
      </w:pPr>
      <w:r>
        <w:drawing>
          <wp:inline distT="0" distB="0" distL="114300" distR="114300">
            <wp:extent cx="5267960" cy="2361565"/>
            <wp:effectExtent l="0" t="0" r="8890" b="635"/>
            <wp:docPr id="5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7"/>
                    <pic:cNvPicPr>
                      <a:picLocks noChangeAspect="1"/>
                    </pic:cNvPicPr>
                  </pic:nvPicPr>
                  <pic:blipFill>
                    <a:blip r:embed="rId28"/>
                    <a:stretch>
                      <a:fillRect/>
                    </a:stretch>
                  </pic:blipFill>
                  <pic:spPr>
                    <a:xfrm>
                      <a:off x="0" y="0"/>
                      <a:ext cx="5267960" cy="2361565"/>
                    </a:xfrm>
                    <a:prstGeom prst="rect">
                      <a:avLst/>
                    </a:prstGeom>
                    <a:noFill/>
                    <a:ln>
                      <a:noFill/>
                    </a:ln>
                  </pic:spPr>
                </pic:pic>
              </a:graphicData>
            </a:graphic>
          </wp:inline>
        </w:drawing>
      </w:r>
    </w:p>
    <w:p>
      <w:pPr>
        <w:numPr>
          <w:ilvl w:val="0"/>
          <w:numId w:val="14"/>
        </w:numPr>
        <w:rPr>
          <w:rFonts w:hint="default"/>
          <w:lang w:val="en-US" w:eastAsia="zh-CN"/>
        </w:rPr>
      </w:pPr>
      <w:r>
        <w:rPr>
          <w:rFonts w:hint="eastAsia"/>
          <w:lang w:val="en-US" w:eastAsia="zh-CN"/>
        </w:rPr>
        <w:t>获取资格确认书，基本竞买资格。</w:t>
      </w:r>
    </w:p>
    <w:p>
      <w:pPr>
        <w:pStyle w:val="2"/>
        <w:tabs>
          <w:tab w:val="left" w:pos="0"/>
        </w:tabs>
      </w:pPr>
      <w:bookmarkStart w:id="7" w:name="_Toc13251"/>
      <w:r>
        <w:rPr>
          <w:rFonts w:hint="eastAsia"/>
          <w:lang w:val="en-US" w:eastAsia="zh-CN"/>
        </w:rPr>
        <w:t>获取竞买资格（资格预审查）</w:t>
      </w:r>
      <w:bookmarkEnd w:id="7"/>
    </w:p>
    <w:p>
      <w:pPr>
        <w:numPr>
          <w:ilvl w:val="0"/>
          <w:numId w:val="15"/>
        </w:numPr>
        <w:rPr>
          <w:rFonts w:hint="default"/>
          <w:lang w:val="en-US" w:eastAsia="zh-CN"/>
        </w:rPr>
      </w:pPr>
      <w:r>
        <w:rPr>
          <w:rFonts w:hint="eastAsia"/>
          <w:lang w:val="en-US" w:eastAsia="zh-CN"/>
        </w:rPr>
        <w:t>在</w:t>
      </w:r>
      <w:r>
        <w:rPr>
          <w:rFonts w:hint="eastAsia"/>
        </w:rPr>
        <w:t>【</w:t>
      </w:r>
      <w:r>
        <w:rPr>
          <w:rFonts w:hint="eastAsia"/>
          <w:lang w:val="en-US" w:eastAsia="zh-CN"/>
        </w:rPr>
        <w:t>我的项目</w:t>
      </w:r>
      <w:r>
        <w:rPr>
          <w:rFonts w:hint="eastAsia"/>
        </w:rPr>
        <w:t>】</w:t>
      </w:r>
      <w:r>
        <w:rPr>
          <w:rFonts w:hint="eastAsia"/>
          <w:lang w:val="en-US" w:eastAsia="zh-CN"/>
        </w:rPr>
        <w:t>查看报名的项目，通过</w:t>
      </w:r>
      <w:r>
        <w:rPr>
          <w:rFonts w:hint="eastAsia" w:ascii="宋体" w:hAnsi="宋体" w:eastAsia="宋体" w:cs="宋体"/>
          <w:sz w:val="21"/>
          <w:szCs w:val="21"/>
        </w:rPr>
        <w:drawing>
          <wp:inline distT="0" distB="0" distL="114300" distR="114300">
            <wp:extent cx="247650" cy="219075"/>
            <wp:effectExtent l="0" t="0" r="0" b="9525"/>
            <wp:docPr id="5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6"/>
                    <pic:cNvPicPr>
                      <a:picLocks noChangeAspect="1"/>
                    </pic:cNvPicPr>
                  </pic:nvPicPr>
                  <pic:blipFill>
                    <a:blip r:embed="rId19"/>
                    <a:stretch>
                      <a:fillRect/>
                    </a:stretch>
                  </pic:blipFill>
                  <pic:spPr>
                    <a:xfrm>
                      <a:off x="0" y="0"/>
                      <a:ext cx="247650" cy="219075"/>
                    </a:xfrm>
                    <a:prstGeom prst="rect">
                      <a:avLst/>
                    </a:prstGeom>
                    <a:noFill/>
                    <a:ln>
                      <a:noFill/>
                    </a:ln>
                  </pic:spPr>
                </pic:pic>
              </a:graphicData>
            </a:graphic>
          </wp:inline>
        </w:drawing>
      </w:r>
      <w:r>
        <w:rPr>
          <w:rFonts w:hint="eastAsia" w:ascii="宋体" w:hAnsi="宋体" w:eastAsia="宋体" w:cs="宋体"/>
          <w:sz w:val="21"/>
          <w:szCs w:val="21"/>
          <w:lang w:val="en-US" w:eastAsia="zh-CN"/>
        </w:rPr>
        <w:t>进入。点击【获取竞买资格】查看。</w:t>
      </w:r>
    </w:p>
    <w:p/>
    <w:p>
      <w:pPr>
        <w:rPr>
          <w:rFonts w:hint="eastAsia"/>
          <w:lang w:val="en-US" w:eastAsia="zh-CN"/>
        </w:rPr>
      </w:pPr>
    </w:p>
    <w:p>
      <w:r>
        <w:drawing>
          <wp:inline distT="0" distB="0" distL="114300" distR="114300">
            <wp:extent cx="5257800" cy="2042795"/>
            <wp:effectExtent l="0" t="0" r="0" b="14605"/>
            <wp:docPr id="5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3"/>
                    <pic:cNvPicPr>
                      <a:picLocks noChangeAspect="1"/>
                    </pic:cNvPicPr>
                  </pic:nvPicPr>
                  <pic:blipFill>
                    <a:blip r:embed="rId26"/>
                    <a:stretch>
                      <a:fillRect/>
                    </a:stretch>
                  </pic:blipFill>
                  <pic:spPr>
                    <a:xfrm>
                      <a:off x="0" y="0"/>
                      <a:ext cx="5257800" cy="2042795"/>
                    </a:xfrm>
                    <a:prstGeom prst="rect">
                      <a:avLst/>
                    </a:prstGeom>
                    <a:noFill/>
                    <a:ln>
                      <a:noFill/>
                    </a:ln>
                  </pic:spPr>
                </pic:pic>
              </a:graphicData>
            </a:graphic>
          </wp:inline>
        </w:drawing>
      </w:r>
    </w:p>
    <w:p>
      <w:pPr>
        <w:numPr>
          <w:ilvl w:val="0"/>
          <w:numId w:val="15"/>
        </w:numPr>
        <w:rPr>
          <w:rFonts w:hint="eastAsia"/>
          <w:lang w:val="en-US" w:eastAsia="zh-CN"/>
        </w:rPr>
      </w:pPr>
      <w:r>
        <w:rPr>
          <w:rFonts w:hint="eastAsia"/>
          <w:lang w:val="en-US" w:eastAsia="zh-CN"/>
        </w:rPr>
        <w:t>若选择“银行转账”方式，则根据生成的保证金虚拟子账号，在保证金缴纳截止时间前银行转账，缴纳足够保证金，点击【保证金查询】，修改缴纳账号和缴纳账号户名，点击【查询】。当已缴纳金额不低于需缴纳额时保证金已缴纳足额。</w:t>
      </w:r>
    </w:p>
    <w:p>
      <w:pPr>
        <w:numPr>
          <w:ilvl w:val="0"/>
          <w:numId w:val="0"/>
        </w:numPr>
        <w:ind w:leftChars="0"/>
      </w:pPr>
      <w:r>
        <w:drawing>
          <wp:inline distT="0" distB="0" distL="114300" distR="114300">
            <wp:extent cx="5268595" cy="1794510"/>
            <wp:effectExtent l="0" t="0" r="8255" b="15240"/>
            <wp:docPr id="5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5"/>
                    <pic:cNvPicPr>
                      <a:picLocks noChangeAspect="1"/>
                    </pic:cNvPicPr>
                  </pic:nvPicPr>
                  <pic:blipFill>
                    <a:blip r:embed="rId27"/>
                    <a:stretch>
                      <a:fillRect/>
                    </a:stretch>
                  </pic:blipFill>
                  <pic:spPr>
                    <a:xfrm>
                      <a:off x="0" y="0"/>
                      <a:ext cx="5268595" cy="1794510"/>
                    </a:xfrm>
                    <a:prstGeom prst="rect">
                      <a:avLst/>
                    </a:prstGeom>
                    <a:noFill/>
                    <a:ln>
                      <a:noFill/>
                    </a:ln>
                  </pic:spPr>
                </pic:pic>
              </a:graphicData>
            </a:graphic>
          </wp:inline>
        </w:drawing>
      </w:r>
    </w:p>
    <w:p>
      <w:pPr>
        <w:numPr>
          <w:ilvl w:val="0"/>
          <w:numId w:val="0"/>
        </w:numPr>
        <w:ind w:leftChars="0"/>
      </w:pPr>
    </w:p>
    <w:p>
      <w:pPr>
        <w:numPr>
          <w:ilvl w:val="0"/>
          <w:numId w:val="0"/>
        </w:numPr>
        <w:ind w:leftChars="0"/>
      </w:pPr>
    </w:p>
    <w:p>
      <w:pPr>
        <w:numPr>
          <w:ilvl w:val="0"/>
          <w:numId w:val="15"/>
        </w:numPr>
        <w:rPr>
          <w:rFonts w:hint="eastAsia"/>
          <w:lang w:val="en-US" w:eastAsia="zh-CN"/>
        </w:rPr>
      </w:pPr>
      <w:r>
        <w:rPr>
          <w:rFonts w:hint="eastAsia"/>
          <w:lang w:val="en-US" w:eastAsia="zh-CN"/>
        </w:rPr>
        <w:t>在报名申购审核通过后，当若选择“银行转账”方式查询到缴纳足额保证金后，或者采用保函方式则代理机构审核保函审核通过后，点击【资格确认书】。若报名申购资格尚未审核，点击【资格确认书】提示需要资格尚未通过。</w:t>
      </w:r>
    </w:p>
    <w:p>
      <w:pPr>
        <w:numPr>
          <w:ilvl w:val="0"/>
          <w:numId w:val="0"/>
        </w:numPr>
        <w:ind w:leftChars="0"/>
        <w:rPr>
          <w:rFonts w:hint="eastAsia"/>
          <w:lang w:val="en-US" w:eastAsia="zh-CN"/>
        </w:rPr>
      </w:pPr>
    </w:p>
    <w:p>
      <w:pPr>
        <w:numPr>
          <w:ilvl w:val="0"/>
          <w:numId w:val="0"/>
        </w:numPr>
        <w:ind w:leftChars="0"/>
      </w:pPr>
      <w:r>
        <w:drawing>
          <wp:inline distT="0" distB="0" distL="114300" distR="114300">
            <wp:extent cx="5267960" cy="2361565"/>
            <wp:effectExtent l="0" t="0" r="8890" b="635"/>
            <wp:docPr id="6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7"/>
                    <pic:cNvPicPr>
                      <a:picLocks noChangeAspect="1"/>
                    </pic:cNvPicPr>
                  </pic:nvPicPr>
                  <pic:blipFill>
                    <a:blip r:embed="rId28"/>
                    <a:stretch>
                      <a:fillRect/>
                    </a:stretch>
                  </pic:blipFill>
                  <pic:spPr>
                    <a:xfrm>
                      <a:off x="0" y="0"/>
                      <a:ext cx="5267960" cy="2361565"/>
                    </a:xfrm>
                    <a:prstGeom prst="rect">
                      <a:avLst/>
                    </a:prstGeom>
                    <a:noFill/>
                    <a:ln>
                      <a:noFill/>
                    </a:ln>
                  </pic:spPr>
                </pic:pic>
              </a:graphicData>
            </a:graphic>
          </wp:inline>
        </w:drawing>
      </w:r>
    </w:p>
    <w:p>
      <w:pPr>
        <w:pStyle w:val="2"/>
        <w:tabs>
          <w:tab w:val="left" w:pos="0"/>
        </w:tabs>
      </w:pPr>
      <w:bookmarkStart w:id="8" w:name="_Toc19351"/>
      <w:r>
        <w:rPr>
          <w:rFonts w:hint="eastAsia"/>
          <w:lang w:val="en-US" w:eastAsia="zh-CN"/>
        </w:rPr>
        <w:t>资格后审查</w:t>
      </w:r>
      <w:bookmarkEnd w:id="8"/>
    </w:p>
    <w:p>
      <w:pPr>
        <w:numPr>
          <w:ilvl w:val="0"/>
          <w:numId w:val="16"/>
        </w:numPr>
        <w:rPr>
          <w:rFonts w:hint="default"/>
          <w:lang w:val="en-US" w:eastAsia="zh-CN"/>
        </w:rPr>
      </w:pPr>
      <w:r>
        <w:rPr>
          <w:rFonts w:hint="eastAsia"/>
          <w:lang w:val="en-US" w:eastAsia="zh-CN"/>
        </w:rPr>
        <w:t>在</w:t>
      </w:r>
      <w:r>
        <w:rPr>
          <w:rFonts w:hint="eastAsia"/>
        </w:rPr>
        <w:t>【</w:t>
      </w:r>
      <w:r>
        <w:rPr>
          <w:rFonts w:hint="eastAsia"/>
          <w:lang w:val="en-US" w:eastAsia="zh-CN"/>
        </w:rPr>
        <w:t>我的项目</w:t>
      </w:r>
      <w:r>
        <w:rPr>
          <w:rFonts w:hint="eastAsia"/>
        </w:rPr>
        <w:t>】</w:t>
      </w:r>
      <w:r>
        <w:rPr>
          <w:rFonts w:hint="eastAsia"/>
          <w:lang w:val="en-US" w:eastAsia="zh-CN"/>
        </w:rPr>
        <w:t>查看报名的项目，通过</w:t>
      </w:r>
      <w:r>
        <w:rPr>
          <w:rFonts w:hint="eastAsia" w:ascii="宋体" w:hAnsi="宋体" w:eastAsia="宋体" w:cs="宋体"/>
          <w:sz w:val="21"/>
          <w:szCs w:val="21"/>
        </w:rPr>
        <w:drawing>
          <wp:inline distT="0" distB="0" distL="114300" distR="114300">
            <wp:extent cx="247650" cy="219075"/>
            <wp:effectExtent l="0" t="0" r="0" b="9525"/>
            <wp:docPr id="6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6"/>
                    <pic:cNvPicPr>
                      <a:picLocks noChangeAspect="1"/>
                    </pic:cNvPicPr>
                  </pic:nvPicPr>
                  <pic:blipFill>
                    <a:blip r:embed="rId19"/>
                    <a:stretch>
                      <a:fillRect/>
                    </a:stretch>
                  </pic:blipFill>
                  <pic:spPr>
                    <a:xfrm>
                      <a:off x="0" y="0"/>
                      <a:ext cx="247650" cy="219075"/>
                    </a:xfrm>
                    <a:prstGeom prst="rect">
                      <a:avLst/>
                    </a:prstGeom>
                    <a:noFill/>
                    <a:ln>
                      <a:noFill/>
                    </a:ln>
                  </pic:spPr>
                </pic:pic>
              </a:graphicData>
            </a:graphic>
          </wp:inline>
        </w:drawing>
      </w:r>
      <w:r>
        <w:rPr>
          <w:rFonts w:hint="eastAsia" w:ascii="宋体" w:hAnsi="宋体" w:eastAsia="宋体" w:cs="宋体"/>
          <w:sz w:val="21"/>
          <w:szCs w:val="21"/>
          <w:lang w:val="en-US" w:eastAsia="zh-CN"/>
        </w:rPr>
        <w:t>进入。点击【获取竞买资格】查看。</w:t>
      </w:r>
    </w:p>
    <w:p/>
    <w:p>
      <w:pPr>
        <w:rPr>
          <w:rFonts w:hint="eastAsia"/>
          <w:lang w:val="en-US" w:eastAsia="zh-CN"/>
        </w:rPr>
      </w:pPr>
    </w:p>
    <w:p>
      <w:r>
        <w:drawing>
          <wp:inline distT="0" distB="0" distL="114300" distR="114300">
            <wp:extent cx="5257800" cy="2042795"/>
            <wp:effectExtent l="0" t="0" r="0" b="14605"/>
            <wp:docPr id="6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3"/>
                    <pic:cNvPicPr>
                      <a:picLocks noChangeAspect="1"/>
                    </pic:cNvPicPr>
                  </pic:nvPicPr>
                  <pic:blipFill>
                    <a:blip r:embed="rId26"/>
                    <a:stretch>
                      <a:fillRect/>
                    </a:stretch>
                  </pic:blipFill>
                  <pic:spPr>
                    <a:xfrm>
                      <a:off x="0" y="0"/>
                      <a:ext cx="5257800" cy="2042795"/>
                    </a:xfrm>
                    <a:prstGeom prst="rect">
                      <a:avLst/>
                    </a:prstGeom>
                    <a:noFill/>
                    <a:ln>
                      <a:noFill/>
                    </a:ln>
                  </pic:spPr>
                </pic:pic>
              </a:graphicData>
            </a:graphic>
          </wp:inline>
        </w:drawing>
      </w:r>
    </w:p>
    <w:p>
      <w:pPr>
        <w:numPr>
          <w:ilvl w:val="0"/>
          <w:numId w:val="16"/>
        </w:numPr>
        <w:rPr>
          <w:rFonts w:hint="eastAsia"/>
          <w:lang w:val="en-US" w:eastAsia="zh-CN"/>
        </w:rPr>
      </w:pPr>
      <w:r>
        <w:rPr>
          <w:rFonts w:hint="eastAsia"/>
          <w:lang w:val="en-US" w:eastAsia="zh-CN"/>
        </w:rPr>
        <w:t>若选择“银行转账”方式，则根据生成的保证金虚拟子账号，在保证金缴纳截止时间前银行转账，缴纳足够保证金，点击【保证金查询】，修改缴纳账号和缴纳账号户名，点击【查询】。当已缴纳金额不低于需缴纳额时保证金已缴纳足额。</w:t>
      </w:r>
    </w:p>
    <w:p>
      <w:pPr>
        <w:numPr>
          <w:ilvl w:val="0"/>
          <w:numId w:val="0"/>
        </w:numPr>
        <w:ind w:leftChars="0"/>
      </w:pPr>
      <w:r>
        <w:drawing>
          <wp:inline distT="0" distB="0" distL="114300" distR="114300">
            <wp:extent cx="5268595" cy="1794510"/>
            <wp:effectExtent l="0" t="0" r="8255" b="15240"/>
            <wp:docPr id="6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5"/>
                    <pic:cNvPicPr>
                      <a:picLocks noChangeAspect="1"/>
                    </pic:cNvPicPr>
                  </pic:nvPicPr>
                  <pic:blipFill>
                    <a:blip r:embed="rId27"/>
                    <a:stretch>
                      <a:fillRect/>
                    </a:stretch>
                  </pic:blipFill>
                  <pic:spPr>
                    <a:xfrm>
                      <a:off x="0" y="0"/>
                      <a:ext cx="5268595" cy="1794510"/>
                    </a:xfrm>
                    <a:prstGeom prst="rect">
                      <a:avLst/>
                    </a:prstGeom>
                    <a:noFill/>
                    <a:ln>
                      <a:noFill/>
                    </a:ln>
                  </pic:spPr>
                </pic:pic>
              </a:graphicData>
            </a:graphic>
          </wp:inline>
        </w:drawing>
      </w:r>
    </w:p>
    <w:p>
      <w:pPr>
        <w:numPr>
          <w:ilvl w:val="0"/>
          <w:numId w:val="0"/>
        </w:numPr>
        <w:ind w:leftChars="0"/>
      </w:pPr>
    </w:p>
    <w:p>
      <w:pPr>
        <w:numPr>
          <w:ilvl w:val="0"/>
          <w:numId w:val="0"/>
        </w:numPr>
        <w:ind w:leftChars="0"/>
      </w:pPr>
    </w:p>
    <w:p>
      <w:pPr>
        <w:numPr>
          <w:ilvl w:val="0"/>
          <w:numId w:val="16"/>
        </w:numPr>
        <w:rPr>
          <w:rFonts w:hint="eastAsia"/>
          <w:lang w:val="en-US" w:eastAsia="zh-CN"/>
        </w:rPr>
      </w:pPr>
      <w:r>
        <w:rPr>
          <w:rFonts w:hint="eastAsia"/>
          <w:lang w:val="en-US" w:eastAsia="zh-CN"/>
        </w:rPr>
        <w:t>当若选择“银行转账”方式查询到缴纳足额保证金后，或者采用保函方式则代理机构审核保函审核通过后，点击【资格确认书】。</w:t>
      </w:r>
    </w:p>
    <w:p>
      <w:pPr>
        <w:numPr>
          <w:ilvl w:val="0"/>
          <w:numId w:val="0"/>
        </w:numPr>
        <w:ind w:leftChars="0"/>
        <w:rPr>
          <w:rFonts w:hint="eastAsia"/>
          <w:lang w:val="en-US" w:eastAsia="zh-CN"/>
        </w:rPr>
      </w:pPr>
    </w:p>
    <w:p>
      <w:pPr>
        <w:numPr>
          <w:ilvl w:val="0"/>
          <w:numId w:val="0"/>
        </w:numPr>
        <w:ind w:leftChars="0"/>
      </w:pPr>
      <w:r>
        <w:drawing>
          <wp:inline distT="0" distB="0" distL="114300" distR="114300">
            <wp:extent cx="5267960" cy="2361565"/>
            <wp:effectExtent l="0" t="0" r="8890" b="635"/>
            <wp:docPr id="6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7"/>
                    <pic:cNvPicPr>
                      <a:picLocks noChangeAspect="1"/>
                    </pic:cNvPicPr>
                  </pic:nvPicPr>
                  <pic:blipFill>
                    <a:blip r:embed="rId28"/>
                    <a:stretch>
                      <a:fillRect/>
                    </a:stretch>
                  </pic:blipFill>
                  <pic:spPr>
                    <a:xfrm>
                      <a:off x="0" y="0"/>
                      <a:ext cx="5267960" cy="2361565"/>
                    </a:xfrm>
                    <a:prstGeom prst="rect">
                      <a:avLst/>
                    </a:prstGeom>
                    <a:noFill/>
                    <a:ln>
                      <a:noFill/>
                    </a:ln>
                  </pic:spPr>
                </pic:pic>
              </a:graphicData>
            </a:graphic>
          </wp:inline>
        </w:drawing>
      </w:r>
    </w:p>
    <w:p>
      <w:pPr>
        <w:numPr>
          <w:ilvl w:val="0"/>
          <w:numId w:val="16"/>
        </w:numPr>
        <w:rPr>
          <w:rFonts w:hint="eastAsia"/>
          <w:lang w:val="en-US" w:eastAsia="zh-CN"/>
        </w:rPr>
      </w:pPr>
      <w:r>
        <w:rPr>
          <w:rFonts w:hint="eastAsia"/>
          <w:lang w:val="en-US" w:eastAsia="zh-CN"/>
        </w:rPr>
        <w:t>获取资格确认书，基本竞买资格。</w:t>
      </w:r>
    </w:p>
    <w:p>
      <w:pPr>
        <w:pStyle w:val="2"/>
        <w:spacing w:line="240" w:lineRule="auto"/>
        <w:ind w:left="431" w:hanging="431"/>
        <w:rPr>
          <w:rFonts w:ascii="宋体" w:hAnsi="宋体" w:eastAsia="宋体" w:cs="宋体"/>
          <w:sz w:val="21"/>
          <w:szCs w:val="21"/>
        </w:rPr>
      </w:pPr>
      <w:bookmarkStart w:id="9" w:name="_Toc16537"/>
      <w:r>
        <w:rPr>
          <w:rFonts w:hint="eastAsia" w:ascii="宋体" w:hAnsi="宋体" w:eastAsia="宋体" w:cs="宋体"/>
          <w:sz w:val="21"/>
          <w:szCs w:val="21"/>
        </w:rPr>
        <w:t>竞价</w:t>
      </w:r>
      <w:bookmarkEnd w:id="9"/>
    </w:p>
    <w:p>
      <w:pPr>
        <w:pStyle w:val="3"/>
        <w:ind w:left="432" w:hanging="432"/>
        <w:rPr>
          <w:rFonts w:ascii="宋体" w:hAnsi="宋体" w:eastAsia="宋体" w:cs="宋体"/>
          <w:sz w:val="21"/>
          <w:szCs w:val="21"/>
        </w:rPr>
      </w:pPr>
      <w:r>
        <w:rPr>
          <w:rFonts w:hint="eastAsia" w:ascii="宋体" w:hAnsi="宋体" w:eastAsia="宋体" w:cs="宋体"/>
          <w:sz w:val="21"/>
          <w:szCs w:val="21"/>
        </w:rPr>
        <w:t>报价</w:t>
      </w:r>
    </w:p>
    <w:p>
      <w:pPr>
        <w:pStyle w:val="11"/>
        <w:numPr>
          <w:ilvl w:val="0"/>
          <w:numId w:val="17"/>
        </w:numPr>
        <w:ind w:right="101"/>
        <w:rPr>
          <w:rFonts w:ascii="宋体" w:hAnsi="宋体" w:eastAsia="宋体" w:cs="宋体"/>
          <w:sz w:val="21"/>
          <w:szCs w:val="21"/>
        </w:rPr>
      </w:pPr>
      <w:r>
        <w:rPr>
          <w:rFonts w:hint="eastAsia" w:ascii="宋体" w:hAnsi="宋体" w:eastAsia="宋体" w:cs="宋体"/>
          <w:sz w:val="21"/>
          <w:szCs w:val="21"/>
        </w:rPr>
        <w:t>在</w:t>
      </w:r>
      <w:r>
        <w:rPr>
          <w:rFonts w:hint="eastAsia" w:ascii="宋体" w:hAnsi="宋体" w:eastAsia="宋体" w:cs="宋体"/>
          <w:sz w:val="21"/>
          <w:szCs w:val="21"/>
          <w:lang w:eastAsia="zh-CN"/>
        </w:rPr>
        <w:t>【</w:t>
      </w:r>
      <w:r>
        <w:rPr>
          <w:rFonts w:hint="eastAsia"/>
          <w:lang w:val="en-US" w:eastAsia="zh-CN"/>
        </w:rPr>
        <w:t>我的项目</w:t>
      </w:r>
      <w:r>
        <w:rPr>
          <w:rFonts w:hint="eastAsia"/>
        </w:rPr>
        <w:t>】</w:t>
      </w:r>
      <w:r>
        <w:rPr>
          <w:rFonts w:hint="eastAsia"/>
          <w:lang w:val="en-US" w:eastAsia="zh-CN"/>
        </w:rPr>
        <w:t>查看项目</w:t>
      </w:r>
      <w:r>
        <w:rPr>
          <w:rFonts w:hint="eastAsia" w:ascii="宋体" w:hAnsi="宋体" w:eastAsia="宋体" w:cs="宋体"/>
          <w:sz w:val="21"/>
          <w:szCs w:val="21"/>
        </w:rPr>
        <w:t>；通过</w:t>
      </w:r>
      <w:r>
        <w:rPr>
          <w:sz w:val="21"/>
          <w:szCs w:val="21"/>
        </w:rPr>
        <w:drawing>
          <wp:inline distT="0" distB="0" distL="114300" distR="114300">
            <wp:extent cx="238125" cy="257175"/>
            <wp:effectExtent l="0" t="0" r="9525" b="9525"/>
            <wp:docPr id="2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2"/>
                    <pic:cNvPicPr>
                      <a:picLocks noChangeAspect="1"/>
                    </pic:cNvPicPr>
                  </pic:nvPicPr>
                  <pic:blipFill>
                    <a:blip r:embed="rId29"/>
                    <a:stretch>
                      <a:fillRect/>
                    </a:stretch>
                  </pic:blipFill>
                  <pic:spPr>
                    <a:xfrm>
                      <a:off x="0" y="0"/>
                      <a:ext cx="238125" cy="257175"/>
                    </a:xfrm>
                    <a:prstGeom prst="rect">
                      <a:avLst/>
                    </a:prstGeom>
                    <a:noFill/>
                    <a:ln>
                      <a:noFill/>
                    </a:ln>
                  </pic:spPr>
                </pic:pic>
              </a:graphicData>
            </a:graphic>
          </wp:inline>
        </w:drawing>
      </w:r>
      <w:r>
        <w:rPr>
          <w:rFonts w:hint="eastAsia"/>
          <w:sz w:val="21"/>
          <w:szCs w:val="21"/>
        </w:rPr>
        <w:t>进入工作台。</w:t>
      </w:r>
    </w:p>
    <w:p>
      <w:pPr>
        <w:pStyle w:val="11"/>
        <w:ind w:right="101" w:firstLine="0"/>
      </w:pPr>
    </w:p>
    <w:p>
      <w:pPr>
        <w:pStyle w:val="11"/>
        <w:ind w:right="101" w:firstLine="0"/>
        <w:rPr>
          <w:sz w:val="21"/>
          <w:szCs w:val="21"/>
        </w:rPr>
      </w:pPr>
      <w:r>
        <w:rPr>
          <w:rFonts w:hint="eastAsia"/>
          <w:sz w:val="21"/>
          <w:szCs w:val="21"/>
        </w:rPr>
        <w:t>备注：</w:t>
      </w:r>
    </w:p>
    <w:p>
      <w:pPr>
        <w:pStyle w:val="11"/>
        <w:ind w:right="101" w:firstLine="420"/>
        <w:rPr>
          <w:sz w:val="21"/>
          <w:szCs w:val="21"/>
        </w:rPr>
      </w:pPr>
      <w:r>
        <w:rPr>
          <w:rFonts w:hint="eastAsia"/>
          <w:sz w:val="21"/>
          <w:szCs w:val="21"/>
        </w:rPr>
        <w:t>请在保证金缴纳截至前完成保证金缴纳。</w:t>
      </w:r>
    </w:p>
    <w:p>
      <w:pPr>
        <w:pStyle w:val="11"/>
        <w:numPr>
          <w:ilvl w:val="0"/>
          <w:numId w:val="18"/>
        </w:numPr>
        <w:ind w:right="101"/>
        <w:rPr>
          <w:rFonts w:ascii="宋体" w:hAnsi="宋体" w:eastAsia="宋体" w:cs="宋体"/>
          <w:sz w:val="21"/>
          <w:szCs w:val="21"/>
        </w:rPr>
      </w:pPr>
      <w:r>
        <w:rPr>
          <w:rFonts w:hint="eastAsia" w:ascii="宋体" w:hAnsi="宋体" w:eastAsia="宋体" w:cs="宋体"/>
          <w:sz w:val="21"/>
          <w:szCs w:val="21"/>
        </w:rPr>
        <w:t>选择【竞价】，首次进入，点击【同意】。</w:t>
      </w:r>
    </w:p>
    <w:p>
      <w:pPr>
        <w:pStyle w:val="11"/>
        <w:ind w:right="101" w:firstLine="0"/>
        <w:rPr>
          <w:sz w:val="21"/>
          <w:szCs w:val="21"/>
        </w:rPr>
      </w:pPr>
      <w:r>
        <w:drawing>
          <wp:inline distT="0" distB="0" distL="114300" distR="114300">
            <wp:extent cx="5267325" cy="3134360"/>
            <wp:effectExtent l="0" t="0" r="9525" b="889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30"/>
                    <a:stretch>
                      <a:fillRect/>
                    </a:stretch>
                  </pic:blipFill>
                  <pic:spPr>
                    <a:xfrm>
                      <a:off x="0" y="0"/>
                      <a:ext cx="5267325" cy="3134360"/>
                    </a:xfrm>
                    <a:prstGeom prst="rect">
                      <a:avLst/>
                    </a:prstGeom>
                    <a:noFill/>
                    <a:ln>
                      <a:noFill/>
                    </a:ln>
                  </pic:spPr>
                </pic:pic>
              </a:graphicData>
            </a:graphic>
          </wp:inline>
        </w:drawing>
      </w:r>
    </w:p>
    <w:p>
      <w:pPr>
        <w:pStyle w:val="11"/>
        <w:numPr>
          <w:ilvl w:val="0"/>
          <w:numId w:val="18"/>
        </w:numPr>
        <w:ind w:right="101"/>
        <w:rPr>
          <w:rFonts w:ascii="宋体" w:hAnsi="宋体" w:eastAsia="宋体" w:cs="宋体"/>
          <w:sz w:val="21"/>
          <w:szCs w:val="21"/>
        </w:rPr>
      </w:pPr>
      <w:r>
        <w:rPr>
          <w:rFonts w:hint="eastAsia" w:ascii="宋体" w:hAnsi="宋体" w:eastAsia="宋体" w:cs="宋体"/>
          <w:sz w:val="21"/>
          <w:szCs w:val="21"/>
        </w:rPr>
        <w:t>进入竞价页面。</w:t>
      </w:r>
    </w:p>
    <w:p>
      <w:pPr>
        <w:pStyle w:val="11"/>
        <w:ind w:right="101" w:firstLine="0"/>
      </w:pPr>
      <w:r>
        <w:drawing>
          <wp:inline distT="0" distB="0" distL="114300" distR="114300">
            <wp:extent cx="5269230" cy="3348355"/>
            <wp:effectExtent l="0" t="0" r="7620" b="4445"/>
            <wp:docPr id="6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9"/>
                    <pic:cNvPicPr>
                      <a:picLocks noChangeAspect="1"/>
                    </pic:cNvPicPr>
                  </pic:nvPicPr>
                  <pic:blipFill>
                    <a:blip r:embed="rId31"/>
                    <a:stretch>
                      <a:fillRect/>
                    </a:stretch>
                  </pic:blipFill>
                  <pic:spPr>
                    <a:xfrm>
                      <a:off x="0" y="0"/>
                      <a:ext cx="5269230" cy="3348355"/>
                    </a:xfrm>
                    <a:prstGeom prst="rect">
                      <a:avLst/>
                    </a:prstGeom>
                    <a:noFill/>
                    <a:ln>
                      <a:noFill/>
                    </a:ln>
                  </pic:spPr>
                </pic:pic>
              </a:graphicData>
            </a:graphic>
          </wp:inline>
        </w:drawing>
      </w:r>
    </w:p>
    <w:p>
      <w:pPr>
        <w:pStyle w:val="11"/>
        <w:ind w:right="101" w:firstLine="0"/>
        <w:rPr>
          <w:sz w:val="21"/>
          <w:szCs w:val="21"/>
        </w:rPr>
      </w:pPr>
      <w:r>
        <w:rPr>
          <w:rFonts w:hint="eastAsia"/>
          <w:sz w:val="21"/>
          <w:szCs w:val="21"/>
        </w:rPr>
        <w:t>说明：</w:t>
      </w:r>
    </w:p>
    <w:p>
      <w:pPr>
        <w:pStyle w:val="11"/>
        <w:numPr>
          <w:ilvl w:val="0"/>
          <w:numId w:val="19"/>
        </w:numPr>
        <w:ind w:right="101" w:firstLine="420" w:firstLineChars="200"/>
        <w:rPr>
          <w:sz w:val="21"/>
          <w:szCs w:val="21"/>
        </w:rPr>
      </w:pPr>
      <w:r>
        <w:rPr>
          <w:rFonts w:hint="eastAsia"/>
          <w:sz w:val="21"/>
          <w:szCs w:val="21"/>
        </w:rPr>
        <w:t>点击</w:t>
      </w:r>
      <w:r>
        <w:drawing>
          <wp:inline distT="0" distB="0" distL="114300" distR="114300">
            <wp:extent cx="200025" cy="180975"/>
            <wp:effectExtent l="0" t="0" r="9525" b="9525"/>
            <wp:docPr id="7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9"/>
                    <pic:cNvPicPr>
                      <a:picLocks noChangeAspect="1"/>
                    </pic:cNvPicPr>
                  </pic:nvPicPr>
                  <pic:blipFill>
                    <a:blip r:embed="rId32"/>
                    <a:stretch>
                      <a:fillRect/>
                    </a:stretch>
                  </pic:blipFill>
                  <pic:spPr>
                    <a:xfrm>
                      <a:off x="0" y="0"/>
                      <a:ext cx="200025" cy="180975"/>
                    </a:xfrm>
                    <a:prstGeom prst="rect">
                      <a:avLst/>
                    </a:prstGeom>
                    <a:noFill/>
                    <a:ln>
                      <a:noFill/>
                    </a:ln>
                  </pic:spPr>
                </pic:pic>
              </a:graphicData>
            </a:graphic>
          </wp:inline>
        </w:drawing>
      </w:r>
      <w:r>
        <w:rPr>
          <w:rFonts w:hint="eastAsia"/>
          <w:sz w:val="21"/>
          <w:szCs w:val="21"/>
        </w:rPr>
        <w:t>展开，竞价概况、报价记录</w:t>
      </w:r>
    </w:p>
    <w:p>
      <w:pPr>
        <w:pStyle w:val="11"/>
        <w:ind w:right="101" w:firstLine="0"/>
      </w:pPr>
      <w:r>
        <w:drawing>
          <wp:inline distT="0" distB="0" distL="114300" distR="114300">
            <wp:extent cx="5273675" cy="3432810"/>
            <wp:effectExtent l="0" t="0" r="3175" b="15240"/>
            <wp:docPr id="6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0"/>
                    <pic:cNvPicPr>
                      <a:picLocks noChangeAspect="1"/>
                    </pic:cNvPicPr>
                  </pic:nvPicPr>
                  <pic:blipFill>
                    <a:blip r:embed="rId33"/>
                    <a:stretch>
                      <a:fillRect/>
                    </a:stretch>
                  </pic:blipFill>
                  <pic:spPr>
                    <a:xfrm>
                      <a:off x="0" y="0"/>
                      <a:ext cx="5273675" cy="3432810"/>
                    </a:xfrm>
                    <a:prstGeom prst="rect">
                      <a:avLst/>
                    </a:prstGeom>
                    <a:noFill/>
                    <a:ln>
                      <a:noFill/>
                    </a:ln>
                  </pic:spPr>
                </pic:pic>
              </a:graphicData>
            </a:graphic>
          </wp:inline>
        </w:drawing>
      </w:r>
    </w:p>
    <w:p>
      <w:pPr>
        <w:pStyle w:val="11"/>
        <w:ind w:right="101" w:firstLine="0"/>
      </w:pPr>
    </w:p>
    <w:p>
      <w:pPr>
        <w:pStyle w:val="11"/>
        <w:numPr>
          <w:ilvl w:val="0"/>
          <w:numId w:val="19"/>
        </w:numPr>
        <w:ind w:right="101" w:firstLine="420" w:firstLineChars="200"/>
        <w:rPr>
          <w:sz w:val="21"/>
          <w:szCs w:val="21"/>
        </w:rPr>
      </w:pPr>
      <w:r>
        <w:rPr>
          <w:rFonts w:hint="eastAsia"/>
          <w:sz w:val="21"/>
          <w:szCs w:val="21"/>
          <w:lang w:val="en-US" w:eastAsia="zh-CN"/>
        </w:rPr>
        <w:t>当前竞价的土地使用权。</w:t>
      </w:r>
    </w:p>
    <w:p>
      <w:pPr>
        <w:pStyle w:val="11"/>
        <w:numPr>
          <w:ilvl w:val="0"/>
          <w:numId w:val="0"/>
        </w:numPr>
        <w:ind w:right="101" w:rightChars="0"/>
        <w:rPr>
          <w:sz w:val="21"/>
          <w:szCs w:val="21"/>
        </w:rPr>
      </w:pPr>
      <w:r>
        <w:drawing>
          <wp:inline distT="0" distB="0" distL="114300" distR="114300">
            <wp:extent cx="5266690" cy="3408680"/>
            <wp:effectExtent l="0" t="0" r="10160" b="1270"/>
            <wp:docPr id="7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3"/>
                    <pic:cNvPicPr>
                      <a:picLocks noChangeAspect="1"/>
                    </pic:cNvPicPr>
                  </pic:nvPicPr>
                  <pic:blipFill>
                    <a:blip r:embed="rId34"/>
                    <a:stretch>
                      <a:fillRect/>
                    </a:stretch>
                  </pic:blipFill>
                  <pic:spPr>
                    <a:xfrm>
                      <a:off x="0" y="0"/>
                      <a:ext cx="5266690" cy="3408680"/>
                    </a:xfrm>
                    <a:prstGeom prst="rect">
                      <a:avLst/>
                    </a:prstGeom>
                    <a:noFill/>
                    <a:ln>
                      <a:noFill/>
                    </a:ln>
                  </pic:spPr>
                </pic:pic>
              </a:graphicData>
            </a:graphic>
          </wp:inline>
        </w:drawing>
      </w:r>
    </w:p>
    <w:p>
      <w:pPr>
        <w:pStyle w:val="11"/>
        <w:numPr>
          <w:ilvl w:val="0"/>
          <w:numId w:val="19"/>
        </w:numPr>
        <w:ind w:right="101" w:firstLine="420" w:firstLineChars="200"/>
        <w:rPr>
          <w:sz w:val="21"/>
          <w:szCs w:val="21"/>
        </w:rPr>
      </w:pPr>
      <w:r>
        <w:rPr>
          <w:rFonts w:hint="eastAsia"/>
          <w:sz w:val="21"/>
          <w:szCs w:val="21"/>
        </w:rPr>
        <w:t>当前状态：正在竞价</w:t>
      </w:r>
    </w:p>
    <w:p>
      <w:pPr>
        <w:pStyle w:val="11"/>
        <w:ind w:right="101" w:firstLine="0"/>
      </w:pPr>
      <w:r>
        <w:drawing>
          <wp:inline distT="0" distB="0" distL="114300" distR="114300">
            <wp:extent cx="5272405" cy="1033145"/>
            <wp:effectExtent l="0" t="0" r="4445" b="14605"/>
            <wp:docPr id="7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4"/>
                    <pic:cNvPicPr>
                      <a:picLocks noChangeAspect="1"/>
                    </pic:cNvPicPr>
                  </pic:nvPicPr>
                  <pic:blipFill>
                    <a:blip r:embed="rId35"/>
                    <a:stretch>
                      <a:fillRect/>
                    </a:stretch>
                  </pic:blipFill>
                  <pic:spPr>
                    <a:xfrm>
                      <a:off x="0" y="0"/>
                      <a:ext cx="5272405" cy="1033145"/>
                    </a:xfrm>
                    <a:prstGeom prst="rect">
                      <a:avLst/>
                    </a:prstGeom>
                    <a:noFill/>
                    <a:ln>
                      <a:noFill/>
                    </a:ln>
                  </pic:spPr>
                </pic:pic>
              </a:graphicData>
            </a:graphic>
          </wp:inline>
        </w:drawing>
      </w:r>
    </w:p>
    <w:p>
      <w:pPr>
        <w:pStyle w:val="11"/>
        <w:numPr>
          <w:ilvl w:val="0"/>
          <w:numId w:val="19"/>
        </w:numPr>
        <w:ind w:right="101" w:firstLine="420" w:firstLineChars="200"/>
        <w:rPr>
          <w:sz w:val="21"/>
          <w:szCs w:val="21"/>
        </w:rPr>
      </w:pPr>
      <w:r>
        <w:rPr>
          <w:rFonts w:hint="eastAsia"/>
          <w:sz w:val="21"/>
          <w:szCs w:val="21"/>
          <w:lang w:val="en-US" w:eastAsia="zh-CN"/>
        </w:rPr>
        <w:t>当前最高价金额、当前最高价竞买人是否本人，本人最高价格。</w:t>
      </w:r>
    </w:p>
    <w:p>
      <w:pPr>
        <w:pStyle w:val="11"/>
        <w:widowControl w:val="0"/>
        <w:numPr>
          <w:ilvl w:val="0"/>
          <w:numId w:val="0"/>
        </w:numPr>
        <w:spacing w:before="60" w:after="60"/>
        <w:ind w:right="101" w:rightChars="0"/>
        <w:jc w:val="both"/>
      </w:pPr>
      <w:r>
        <w:drawing>
          <wp:inline distT="0" distB="0" distL="114300" distR="114300">
            <wp:extent cx="5272405" cy="1162685"/>
            <wp:effectExtent l="0" t="0" r="4445" b="18415"/>
            <wp:docPr id="7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9"/>
                    <pic:cNvPicPr>
                      <a:picLocks noChangeAspect="1"/>
                    </pic:cNvPicPr>
                  </pic:nvPicPr>
                  <pic:blipFill>
                    <a:blip r:embed="rId36"/>
                    <a:stretch>
                      <a:fillRect/>
                    </a:stretch>
                  </pic:blipFill>
                  <pic:spPr>
                    <a:xfrm>
                      <a:off x="0" y="0"/>
                      <a:ext cx="5272405" cy="1162685"/>
                    </a:xfrm>
                    <a:prstGeom prst="rect">
                      <a:avLst/>
                    </a:prstGeom>
                    <a:noFill/>
                    <a:ln>
                      <a:noFill/>
                    </a:ln>
                  </pic:spPr>
                </pic:pic>
              </a:graphicData>
            </a:graphic>
          </wp:inline>
        </w:drawing>
      </w:r>
    </w:p>
    <w:p>
      <w:pPr>
        <w:pStyle w:val="11"/>
        <w:numPr>
          <w:ilvl w:val="0"/>
          <w:numId w:val="19"/>
        </w:numPr>
        <w:ind w:right="101" w:firstLine="480" w:firstLineChars="200"/>
      </w:pPr>
      <w:r>
        <w:rPr>
          <w:rFonts w:hint="eastAsia"/>
          <w:lang w:val="en-US" w:eastAsia="zh-CN"/>
        </w:rPr>
        <w:t>竞价记录。</w:t>
      </w:r>
    </w:p>
    <w:p>
      <w:pPr>
        <w:pStyle w:val="11"/>
        <w:numPr>
          <w:ilvl w:val="0"/>
          <w:numId w:val="0"/>
        </w:numPr>
        <w:ind w:leftChars="200" w:right="101" w:rightChars="0"/>
      </w:pPr>
      <w:r>
        <w:drawing>
          <wp:inline distT="0" distB="0" distL="114300" distR="114300">
            <wp:extent cx="3648075" cy="2305050"/>
            <wp:effectExtent l="0" t="0" r="9525" b="0"/>
            <wp:docPr id="8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30"/>
                    <pic:cNvPicPr>
                      <a:picLocks noChangeAspect="1"/>
                    </pic:cNvPicPr>
                  </pic:nvPicPr>
                  <pic:blipFill>
                    <a:blip r:embed="rId37"/>
                    <a:stretch>
                      <a:fillRect/>
                    </a:stretch>
                  </pic:blipFill>
                  <pic:spPr>
                    <a:xfrm>
                      <a:off x="0" y="0"/>
                      <a:ext cx="3648075" cy="2305050"/>
                    </a:xfrm>
                    <a:prstGeom prst="rect">
                      <a:avLst/>
                    </a:prstGeom>
                    <a:noFill/>
                    <a:ln>
                      <a:noFill/>
                    </a:ln>
                  </pic:spPr>
                </pic:pic>
              </a:graphicData>
            </a:graphic>
          </wp:inline>
        </w:drawing>
      </w:r>
    </w:p>
    <w:p>
      <w:pPr>
        <w:pStyle w:val="11"/>
        <w:numPr>
          <w:ilvl w:val="0"/>
          <w:numId w:val="19"/>
        </w:numPr>
        <w:ind w:right="101" w:firstLine="420" w:firstLineChars="200"/>
        <w:rPr>
          <w:sz w:val="21"/>
          <w:szCs w:val="21"/>
        </w:rPr>
      </w:pPr>
      <w:r>
        <w:rPr>
          <w:rFonts w:hint="eastAsia"/>
          <w:sz w:val="21"/>
          <w:szCs w:val="21"/>
        </w:rPr>
        <w:t>查看</w:t>
      </w:r>
      <w:r>
        <w:rPr>
          <w:rFonts w:hint="eastAsia"/>
          <w:sz w:val="21"/>
          <w:szCs w:val="21"/>
          <w:lang w:val="en-US" w:eastAsia="zh-CN"/>
        </w:rPr>
        <w:t>竞价</w:t>
      </w:r>
      <w:r>
        <w:rPr>
          <w:rFonts w:hint="eastAsia"/>
          <w:sz w:val="21"/>
          <w:szCs w:val="21"/>
        </w:rPr>
        <w:t>和广播信息。</w:t>
      </w:r>
    </w:p>
    <w:p>
      <w:pPr>
        <w:pStyle w:val="11"/>
        <w:ind w:right="101" w:firstLine="0"/>
        <w:rPr>
          <w:sz w:val="21"/>
          <w:szCs w:val="21"/>
        </w:rPr>
      </w:pPr>
      <w:r>
        <w:drawing>
          <wp:inline distT="0" distB="0" distL="114300" distR="114300">
            <wp:extent cx="5273040" cy="3404235"/>
            <wp:effectExtent l="0" t="0" r="3810" b="5715"/>
            <wp:docPr id="7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5"/>
                    <pic:cNvPicPr>
                      <a:picLocks noChangeAspect="1"/>
                    </pic:cNvPicPr>
                  </pic:nvPicPr>
                  <pic:blipFill>
                    <a:blip r:embed="rId38"/>
                    <a:stretch>
                      <a:fillRect/>
                    </a:stretch>
                  </pic:blipFill>
                  <pic:spPr>
                    <a:xfrm>
                      <a:off x="0" y="0"/>
                      <a:ext cx="5273040" cy="3404235"/>
                    </a:xfrm>
                    <a:prstGeom prst="rect">
                      <a:avLst/>
                    </a:prstGeom>
                    <a:noFill/>
                    <a:ln>
                      <a:noFill/>
                    </a:ln>
                  </pic:spPr>
                </pic:pic>
              </a:graphicData>
            </a:graphic>
          </wp:inline>
        </w:drawing>
      </w:r>
    </w:p>
    <w:p>
      <w:pPr>
        <w:pStyle w:val="11"/>
        <w:numPr>
          <w:ilvl w:val="0"/>
          <w:numId w:val="18"/>
        </w:numPr>
        <w:ind w:right="101"/>
        <w:rPr>
          <w:rFonts w:ascii="宋体" w:hAnsi="宋体" w:eastAsia="宋体" w:cs="宋体"/>
          <w:sz w:val="21"/>
          <w:szCs w:val="21"/>
        </w:rPr>
      </w:pPr>
      <w:r>
        <w:rPr>
          <w:rFonts w:hint="eastAsia" w:ascii="宋体" w:hAnsi="宋体" w:eastAsia="宋体" w:cs="宋体"/>
          <w:sz w:val="21"/>
          <w:szCs w:val="21"/>
        </w:rPr>
        <w:t>点击【快速报价】，以</w:t>
      </w:r>
      <w:r>
        <w:rPr>
          <w:rFonts w:hint="eastAsia" w:ascii="宋体" w:hAnsi="宋体" w:eastAsia="宋体" w:cs="宋体"/>
          <w:sz w:val="21"/>
          <w:szCs w:val="21"/>
          <w:lang w:val="en-US" w:eastAsia="zh-CN"/>
        </w:rPr>
        <w:t>加价</w:t>
      </w:r>
      <w:r>
        <w:rPr>
          <w:rFonts w:hint="eastAsia" w:ascii="宋体" w:hAnsi="宋体" w:eastAsia="宋体" w:cs="宋体"/>
          <w:sz w:val="21"/>
          <w:szCs w:val="21"/>
        </w:rPr>
        <w:t>1倍竞价阶梯</w:t>
      </w:r>
      <w:r>
        <w:rPr>
          <w:rFonts w:hint="eastAsia" w:ascii="宋体" w:hAnsi="宋体" w:eastAsia="宋体" w:cs="宋体"/>
          <w:sz w:val="21"/>
          <w:szCs w:val="21"/>
          <w:lang w:val="en-US" w:eastAsia="zh-CN"/>
        </w:rPr>
        <w:t>的金额进行</w:t>
      </w:r>
      <w:r>
        <w:rPr>
          <w:rFonts w:hint="eastAsia" w:ascii="宋体" w:hAnsi="宋体" w:eastAsia="宋体" w:cs="宋体"/>
          <w:sz w:val="21"/>
          <w:szCs w:val="21"/>
        </w:rPr>
        <w:t>报价。</w:t>
      </w:r>
    </w:p>
    <w:p>
      <w:pPr>
        <w:pStyle w:val="11"/>
        <w:ind w:right="101" w:firstLine="0"/>
        <w:rPr>
          <w:rFonts w:ascii="宋体" w:hAnsi="宋体" w:eastAsia="宋体" w:cs="宋体"/>
          <w:sz w:val="21"/>
          <w:szCs w:val="21"/>
        </w:rPr>
      </w:pPr>
      <w:r>
        <w:drawing>
          <wp:inline distT="0" distB="0" distL="114300" distR="114300">
            <wp:extent cx="5268595" cy="3437890"/>
            <wp:effectExtent l="0" t="0" r="8255" b="10160"/>
            <wp:docPr id="7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6"/>
                    <pic:cNvPicPr>
                      <a:picLocks noChangeAspect="1"/>
                    </pic:cNvPicPr>
                  </pic:nvPicPr>
                  <pic:blipFill>
                    <a:blip r:embed="rId39"/>
                    <a:stretch>
                      <a:fillRect/>
                    </a:stretch>
                  </pic:blipFill>
                  <pic:spPr>
                    <a:xfrm>
                      <a:off x="0" y="0"/>
                      <a:ext cx="5268595" cy="3437890"/>
                    </a:xfrm>
                    <a:prstGeom prst="rect">
                      <a:avLst/>
                    </a:prstGeom>
                    <a:noFill/>
                    <a:ln>
                      <a:noFill/>
                    </a:ln>
                  </pic:spPr>
                </pic:pic>
              </a:graphicData>
            </a:graphic>
          </wp:inline>
        </w:drawing>
      </w:r>
    </w:p>
    <w:p>
      <w:pPr>
        <w:pStyle w:val="11"/>
        <w:numPr>
          <w:ilvl w:val="0"/>
          <w:numId w:val="18"/>
        </w:numPr>
        <w:ind w:right="101"/>
        <w:rPr>
          <w:rFonts w:ascii="宋体" w:hAnsi="宋体" w:eastAsia="宋体" w:cs="宋体"/>
          <w:sz w:val="21"/>
          <w:szCs w:val="21"/>
        </w:rPr>
      </w:pPr>
      <w:r>
        <w:rPr>
          <w:rFonts w:hint="eastAsia" w:ascii="宋体" w:hAnsi="宋体" w:eastAsia="宋体" w:cs="宋体"/>
          <w:sz w:val="21"/>
          <w:szCs w:val="21"/>
        </w:rPr>
        <w:t>选择报价倍数，点击【提交报价】。</w:t>
      </w:r>
    </w:p>
    <w:p>
      <w:pPr>
        <w:pStyle w:val="11"/>
        <w:ind w:right="101" w:firstLine="0"/>
      </w:pPr>
      <w:r>
        <w:drawing>
          <wp:inline distT="0" distB="0" distL="114300" distR="114300">
            <wp:extent cx="5264785" cy="3378835"/>
            <wp:effectExtent l="0" t="0" r="12065" b="12065"/>
            <wp:docPr id="7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7"/>
                    <pic:cNvPicPr>
                      <a:picLocks noChangeAspect="1"/>
                    </pic:cNvPicPr>
                  </pic:nvPicPr>
                  <pic:blipFill>
                    <a:blip r:embed="rId40"/>
                    <a:stretch>
                      <a:fillRect/>
                    </a:stretch>
                  </pic:blipFill>
                  <pic:spPr>
                    <a:xfrm>
                      <a:off x="0" y="0"/>
                      <a:ext cx="5264785" cy="3378835"/>
                    </a:xfrm>
                    <a:prstGeom prst="rect">
                      <a:avLst/>
                    </a:prstGeom>
                    <a:noFill/>
                    <a:ln>
                      <a:noFill/>
                    </a:ln>
                  </pic:spPr>
                </pic:pic>
              </a:graphicData>
            </a:graphic>
          </wp:inline>
        </w:drawing>
      </w:r>
    </w:p>
    <w:p>
      <w:pPr>
        <w:pStyle w:val="11"/>
        <w:numPr>
          <w:ilvl w:val="0"/>
          <w:numId w:val="18"/>
        </w:numPr>
        <w:ind w:right="101"/>
        <w:rPr>
          <w:rFonts w:ascii="宋体" w:hAnsi="宋体" w:eastAsia="宋体" w:cs="宋体"/>
          <w:sz w:val="21"/>
          <w:szCs w:val="21"/>
        </w:rPr>
      </w:pPr>
      <w:r>
        <w:rPr>
          <w:rFonts w:hint="eastAsia" w:ascii="宋体" w:hAnsi="宋体" w:eastAsia="宋体" w:cs="宋体"/>
          <w:sz w:val="21"/>
          <w:szCs w:val="21"/>
        </w:rPr>
        <w:t>选择</w:t>
      </w:r>
      <w:r>
        <w:rPr>
          <w:rFonts w:hint="eastAsia" w:ascii="宋体" w:hAnsi="宋体" w:eastAsia="宋体" w:cs="宋体"/>
          <w:sz w:val="21"/>
          <w:szCs w:val="21"/>
          <w:lang w:val="en-US" w:eastAsia="zh-CN"/>
        </w:rPr>
        <w:t>自由</w:t>
      </w:r>
      <w:r>
        <w:rPr>
          <w:rFonts w:hint="eastAsia" w:ascii="宋体" w:hAnsi="宋体" w:eastAsia="宋体" w:cs="宋体"/>
          <w:sz w:val="21"/>
          <w:szCs w:val="21"/>
        </w:rPr>
        <w:t>倍数</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竞买人输入倍数</w:t>
      </w:r>
      <w:r>
        <w:rPr>
          <w:rFonts w:hint="eastAsia" w:ascii="宋体" w:hAnsi="宋体" w:eastAsia="宋体" w:cs="宋体"/>
          <w:sz w:val="21"/>
          <w:szCs w:val="21"/>
        </w:rPr>
        <w:t>，点击【提交报价】。</w:t>
      </w:r>
    </w:p>
    <w:p>
      <w:pPr>
        <w:pStyle w:val="11"/>
        <w:ind w:right="101" w:firstLine="0"/>
      </w:pPr>
      <w:r>
        <w:drawing>
          <wp:inline distT="0" distB="0" distL="114300" distR="114300">
            <wp:extent cx="5264785" cy="3415665"/>
            <wp:effectExtent l="0" t="0" r="12065" b="13335"/>
            <wp:docPr id="7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8"/>
                    <pic:cNvPicPr>
                      <a:picLocks noChangeAspect="1"/>
                    </pic:cNvPicPr>
                  </pic:nvPicPr>
                  <pic:blipFill>
                    <a:blip r:embed="rId41"/>
                    <a:stretch>
                      <a:fillRect/>
                    </a:stretch>
                  </pic:blipFill>
                  <pic:spPr>
                    <a:xfrm>
                      <a:off x="0" y="0"/>
                      <a:ext cx="5264785" cy="3415665"/>
                    </a:xfrm>
                    <a:prstGeom prst="rect">
                      <a:avLst/>
                    </a:prstGeom>
                    <a:noFill/>
                    <a:ln>
                      <a:noFill/>
                    </a:ln>
                  </pic:spPr>
                </pic:pic>
              </a:graphicData>
            </a:graphic>
          </wp:inline>
        </w:drawing>
      </w:r>
    </w:p>
    <w:p>
      <w:pPr>
        <w:pStyle w:val="11"/>
        <w:ind w:right="101" w:firstLine="0"/>
      </w:pPr>
    </w:p>
    <w:p>
      <w:pPr>
        <w:pStyle w:val="3"/>
        <w:ind w:left="432" w:hanging="432"/>
        <w:rPr>
          <w:rFonts w:ascii="宋体" w:hAnsi="宋体" w:eastAsia="宋体" w:cs="宋体"/>
          <w:sz w:val="21"/>
          <w:szCs w:val="21"/>
        </w:rPr>
      </w:pPr>
      <w:r>
        <w:rPr>
          <w:rFonts w:hint="eastAsia" w:ascii="宋体" w:hAnsi="宋体" w:eastAsia="宋体" w:cs="宋体"/>
          <w:sz w:val="21"/>
          <w:szCs w:val="21"/>
        </w:rPr>
        <w:t>询问期</w:t>
      </w:r>
    </w:p>
    <w:p>
      <w:pPr>
        <w:pStyle w:val="11"/>
        <w:numPr>
          <w:ilvl w:val="0"/>
          <w:numId w:val="20"/>
        </w:numPr>
        <w:ind w:right="101"/>
        <w:rPr>
          <w:rFonts w:ascii="宋体" w:hAnsi="宋体" w:eastAsia="宋体" w:cs="宋体"/>
          <w:sz w:val="21"/>
          <w:szCs w:val="21"/>
        </w:rPr>
      </w:pPr>
      <w:r>
        <w:rPr>
          <w:rFonts w:hint="eastAsia" w:ascii="宋体" w:hAnsi="宋体" w:eastAsia="宋体" w:cs="宋体"/>
          <w:sz w:val="21"/>
          <w:szCs w:val="21"/>
        </w:rPr>
        <w:t>挂牌/拍卖时间结束，进入询问期。在询问期点击【参加】延时竞价，否则不参与延时竞价。</w:t>
      </w:r>
    </w:p>
    <w:p>
      <w:pPr>
        <w:pStyle w:val="11"/>
        <w:ind w:right="101" w:firstLine="0"/>
      </w:pPr>
      <w:r>
        <w:drawing>
          <wp:inline distT="0" distB="0" distL="114300" distR="114300">
            <wp:extent cx="4430395" cy="2814955"/>
            <wp:effectExtent l="0" t="0" r="825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2"/>
                    <a:stretch>
                      <a:fillRect/>
                    </a:stretch>
                  </pic:blipFill>
                  <pic:spPr>
                    <a:xfrm>
                      <a:off x="0" y="0"/>
                      <a:ext cx="4430395" cy="2814955"/>
                    </a:xfrm>
                    <a:prstGeom prst="rect">
                      <a:avLst/>
                    </a:prstGeom>
                  </pic:spPr>
                </pic:pic>
              </a:graphicData>
            </a:graphic>
          </wp:inline>
        </w:drawing>
      </w:r>
    </w:p>
    <w:p>
      <w:pPr>
        <w:pStyle w:val="2"/>
        <w:spacing w:line="240" w:lineRule="auto"/>
        <w:ind w:left="431" w:hanging="431"/>
        <w:rPr>
          <w:rFonts w:ascii="宋体" w:hAnsi="宋体" w:eastAsia="宋体" w:cs="宋体"/>
          <w:sz w:val="21"/>
          <w:szCs w:val="21"/>
        </w:rPr>
      </w:pPr>
      <w:bookmarkStart w:id="10" w:name="_Toc29316"/>
      <w:r>
        <w:rPr>
          <w:rFonts w:hint="eastAsia" w:ascii="宋体" w:hAnsi="宋体" w:eastAsia="宋体" w:cs="宋体"/>
          <w:sz w:val="21"/>
          <w:szCs w:val="21"/>
          <w:lang w:val="en-US" w:eastAsia="zh-CN"/>
        </w:rPr>
        <w:t>成交确认书确认</w:t>
      </w:r>
      <w:bookmarkEnd w:id="10"/>
    </w:p>
    <w:p>
      <w:pPr>
        <w:pStyle w:val="11"/>
        <w:numPr>
          <w:ilvl w:val="0"/>
          <w:numId w:val="21"/>
        </w:numPr>
        <w:ind w:right="101"/>
        <w:rPr>
          <w:rFonts w:ascii="宋体" w:hAnsi="宋体" w:eastAsia="宋体" w:cs="宋体"/>
          <w:sz w:val="21"/>
          <w:szCs w:val="21"/>
        </w:rPr>
      </w:pPr>
      <w:r>
        <w:rPr>
          <w:rFonts w:hint="eastAsia" w:ascii="宋体" w:hAnsi="宋体" w:eastAsia="宋体" w:cs="宋体"/>
          <w:sz w:val="21"/>
          <w:szCs w:val="21"/>
        </w:rPr>
        <w:t>在“中标项目-项目类型（</w:t>
      </w:r>
      <w:r>
        <w:rPr>
          <w:rFonts w:hint="eastAsia" w:ascii="宋体" w:hAnsi="宋体" w:eastAsia="宋体" w:cs="宋体"/>
          <w:sz w:val="21"/>
          <w:szCs w:val="21"/>
          <w:lang w:eastAsia="zh-CN"/>
        </w:rPr>
        <w:t>土地交易</w:t>
      </w:r>
      <w:r>
        <w:rPr>
          <w:rFonts w:hint="eastAsia" w:ascii="宋体" w:hAnsi="宋体" w:eastAsia="宋体" w:cs="宋体"/>
          <w:sz w:val="21"/>
          <w:szCs w:val="21"/>
        </w:rPr>
        <w:t>）”，选择项目。</w:t>
      </w:r>
    </w:p>
    <w:p>
      <w:pPr>
        <w:pStyle w:val="11"/>
        <w:ind w:right="101" w:firstLine="0"/>
      </w:pPr>
      <w:r>
        <w:drawing>
          <wp:inline distT="0" distB="0" distL="114300" distR="114300">
            <wp:extent cx="5264785" cy="839470"/>
            <wp:effectExtent l="0" t="0" r="12065" b="17780"/>
            <wp:docPr id="8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31"/>
                    <pic:cNvPicPr>
                      <a:picLocks noChangeAspect="1"/>
                    </pic:cNvPicPr>
                  </pic:nvPicPr>
                  <pic:blipFill>
                    <a:blip r:embed="rId43"/>
                    <a:stretch>
                      <a:fillRect/>
                    </a:stretch>
                  </pic:blipFill>
                  <pic:spPr>
                    <a:xfrm>
                      <a:off x="0" y="0"/>
                      <a:ext cx="5264785" cy="839470"/>
                    </a:xfrm>
                    <a:prstGeom prst="rect">
                      <a:avLst/>
                    </a:prstGeom>
                    <a:noFill/>
                    <a:ln>
                      <a:noFill/>
                    </a:ln>
                  </pic:spPr>
                </pic:pic>
              </a:graphicData>
            </a:graphic>
          </wp:inline>
        </w:drawing>
      </w:r>
    </w:p>
    <w:p>
      <w:pPr>
        <w:pStyle w:val="11"/>
        <w:numPr>
          <w:ilvl w:val="0"/>
          <w:numId w:val="21"/>
        </w:numPr>
        <w:ind w:right="101"/>
        <w:rPr>
          <w:rFonts w:hint="eastAsia" w:ascii="宋体" w:hAnsi="宋体" w:eastAsia="宋体" w:cs="宋体"/>
          <w:sz w:val="21"/>
          <w:szCs w:val="21"/>
          <w:lang w:eastAsia="zh-CN"/>
        </w:rPr>
      </w:pPr>
      <w:r>
        <w:rPr>
          <w:rFonts w:hint="eastAsia" w:ascii="宋体" w:hAnsi="宋体" w:eastAsia="宋体" w:cs="宋体"/>
          <w:sz w:val="21"/>
          <w:szCs w:val="21"/>
          <w:lang w:val="en-US" w:eastAsia="zh-CN"/>
        </w:rPr>
        <w:t>代理机构在确认成交时，推送确认通知书，竞买人点击【下载模板】，然后盖章上传扫描件后，最终完成成交确认书确定。</w:t>
      </w:r>
    </w:p>
    <w:p>
      <w:pPr>
        <w:pStyle w:val="11"/>
        <w:numPr>
          <w:ilvl w:val="0"/>
          <w:numId w:val="0"/>
        </w:numPr>
        <w:ind w:leftChars="0" w:right="101" w:rightChars="0"/>
        <w:rPr>
          <w:rFonts w:ascii="宋体" w:hAnsi="宋体" w:eastAsia="宋体" w:cs="宋体"/>
          <w:szCs w:val="21"/>
        </w:rPr>
      </w:pPr>
      <w:r>
        <w:drawing>
          <wp:inline distT="0" distB="0" distL="114300" distR="114300">
            <wp:extent cx="5272405" cy="3159125"/>
            <wp:effectExtent l="0" t="0" r="4445" b="3175"/>
            <wp:docPr id="87"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34"/>
                    <pic:cNvPicPr>
                      <a:picLocks noChangeAspect="1"/>
                    </pic:cNvPicPr>
                  </pic:nvPicPr>
                  <pic:blipFill>
                    <a:blip r:embed="rId44"/>
                    <a:stretch>
                      <a:fillRect/>
                    </a:stretch>
                  </pic:blipFill>
                  <pic:spPr>
                    <a:xfrm>
                      <a:off x="0" y="0"/>
                      <a:ext cx="5272405" cy="3159125"/>
                    </a:xfrm>
                    <a:prstGeom prst="rect">
                      <a:avLst/>
                    </a:prstGeom>
                    <a:noFill/>
                    <a:ln>
                      <a:noFill/>
                    </a:ln>
                  </pic:spPr>
                </pic:pic>
              </a:graphicData>
            </a:graphic>
          </wp:inline>
        </w:drawing>
      </w:r>
    </w:p>
    <w:p>
      <w:pPr>
        <w:spacing w:line="360" w:lineRule="auto"/>
      </w:pPr>
      <w:r>
        <w:drawing>
          <wp:inline distT="0" distB="0" distL="114300" distR="114300">
            <wp:extent cx="5267960" cy="2016125"/>
            <wp:effectExtent l="0" t="0" r="8890" b="3175"/>
            <wp:docPr id="84"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33"/>
                    <pic:cNvPicPr>
                      <a:picLocks noChangeAspect="1"/>
                    </pic:cNvPicPr>
                  </pic:nvPicPr>
                  <pic:blipFill>
                    <a:blip r:embed="rId45"/>
                    <a:stretch>
                      <a:fillRect/>
                    </a:stretch>
                  </pic:blipFill>
                  <pic:spPr>
                    <a:xfrm>
                      <a:off x="0" y="0"/>
                      <a:ext cx="5267960" cy="2016125"/>
                    </a:xfrm>
                    <a:prstGeom prst="rect">
                      <a:avLst/>
                    </a:prstGeom>
                    <a:noFill/>
                    <a:ln>
                      <a:noFill/>
                    </a:ln>
                  </pic:spPr>
                </pic:pic>
              </a:graphicData>
            </a:graphic>
          </wp:inline>
        </w:drawing>
      </w:r>
    </w:p>
    <w:p>
      <w:pPr>
        <w:spacing w:line="360" w:lineRule="auto"/>
      </w:pPr>
    </w:p>
    <w:p>
      <w:pPr>
        <w:pStyle w:val="2"/>
        <w:spacing w:line="240" w:lineRule="auto"/>
        <w:ind w:left="431" w:hanging="431"/>
        <w:rPr>
          <w:rFonts w:ascii="宋体" w:hAnsi="宋体" w:eastAsia="宋体" w:cs="宋体"/>
          <w:sz w:val="21"/>
          <w:szCs w:val="21"/>
        </w:rPr>
      </w:pPr>
      <w:bookmarkStart w:id="11" w:name="_Toc5786"/>
      <w:r>
        <w:rPr>
          <w:rFonts w:hint="eastAsia" w:ascii="宋体" w:hAnsi="宋体" w:eastAsia="宋体" w:cs="宋体"/>
          <w:sz w:val="21"/>
          <w:szCs w:val="21"/>
          <w:lang w:val="en-US" w:eastAsia="zh-CN"/>
        </w:rPr>
        <w:t>成交结果查看</w:t>
      </w:r>
      <w:bookmarkEnd w:id="11"/>
    </w:p>
    <w:p>
      <w:pPr>
        <w:pStyle w:val="11"/>
        <w:numPr>
          <w:ilvl w:val="0"/>
          <w:numId w:val="22"/>
        </w:numPr>
        <w:ind w:right="101"/>
        <w:rPr>
          <w:rFonts w:ascii="宋体" w:hAnsi="宋体" w:eastAsia="宋体" w:cs="宋体"/>
          <w:sz w:val="21"/>
          <w:szCs w:val="21"/>
        </w:rPr>
      </w:pPr>
      <w:r>
        <w:rPr>
          <w:rFonts w:hint="eastAsia" w:ascii="宋体" w:hAnsi="宋体" w:eastAsia="宋体" w:cs="宋体"/>
          <w:sz w:val="21"/>
          <w:szCs w:val="21"/>
        </w:rPr>
        <w:t>在“中标项目-项目类型（</w:t>
      </w:r>
      <w:r>
        <w:rPr>
          <w:rFonts w:hint="eastAsia" w:ascii="宋体" w:hAnsi="宋体" w:eastAsia="宋体" w:cs="宋体"/>
          <w:sz w:val="21"/>
          <w:szCs w:val="21"/>
          <w:lang w:eastAsia="zh-CN"/>
        </w:rPr>
        <w:t>土地交易</w:t>
      </w:r>
      <w:r>
        <w:rPr>
          <w:rFonts w:hint="eastAsia" w:ascii="宋体" w:hAnsi="宋体" w:eastAsia="宋体" w:cs="宋体"/>
          <w:sz w:val="21"/>
          <w:szCs w:val="21"/>
        </w:rPr>
        <w:t>）”，选择项目。</w:t>
      </w:r>
    </w:p>
    <w:p>
      <w:pPr>
        <w:pStyle w:val="11"/>
        <w:ind w:right="101" w:firstLine="0"/>
      </w:pPr>
      <w:r>
        <w:drawing>
          <wp:inline distT="0" distB="0" distL="114300" distR="114300">
            <wp:extent cx="5264785" cy="839470"/>
            <wp:effectExtent l="0" t="0" r="12065" b="17780"/>
            <wp:docPr id="85"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31"/>
                    <pic:cNvPicPr>
                      <a:picLocks noChangeAspect="1"/>
                    </pic:cNvPicPr>
                  </pic:nvPicPr>
                  <pic:blipFill>
                    <a:blip r:embed="rId43"/>
                    <a:stretch>
                      <a:fillRect/>
                    </a:stretch>
                  </pic:blipFill>
                  <pic:spPr>
                    <a:xfrm>
                      <a:off x="0" y="0"/>
                      <a:ext cx="5264785" cy="839470"/>
                    </a:xfrm>
                    <a:prstGeom prst="rect">
                      <a:avLst/>
                    </a:prstGeom>
                    <a:noFill/>
                    <a:ln>
                      <a:noFill/>
                    </a:ln>
                  </pic:spPr>
                </pic:pic>
              </a:graphicData>
            </a:graphic>
          </wp:inline>
        </w:drawing>
      </w:r>
    </w:p>
    <w:p>
      <w:pPr>
        <w:pStyle w:val="11"/>
        <w:numPr>
          <w:ilvl w:val="0"/>
          <w:numId w:val="22"/>
        </w:numPr>
        <w:ind w:right="101"/>
        <w:rPr>
          <w:rFonts w:ascii="宋体" w:hAnsi="宋体" w:eastAsia="宋体" w:cs="宋体"/>
          <w:szCs w:val="21"/>
        </w:rPr>
      </w:pPr>
      <w:r>
        <w:rPr>
          <w:rFonts w:hint="eastAsia" w:ascii="宋体" w:hAnsi="宋体" w:eastAsia="宋体" w:cs="宋体"/>
          <w:szCs w:val="21"/>
          <w:lang w:val="en-US" w:eastAsia="zh-CN"/>
        </w:rPr>
        <w:t>点击【成交结果查看】进行查看。</w:t>
      </w:r>
    </w:p>
    <w:p>
      <w:pPr>
        <w:spacing w:line="360" w:lineRule="auto"/>
      </w:pPr>
      <w:r>
        <w:drawing>
          <wp:inline distT="0" distB="0" distL="114300" distR="114300">
            <wp:extent cx="5270500" cy="2933700"/>
            <wp:effectExtent l="0" t="0" r="6350" b="0"/>
            <wp:docPr id="88"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35"/>
                    <pic:cNvPicPr>
                      <a:picLocks noChangeAspect="1"/>
                    </pic:cNvPicPr>
                  </pic:nvPicPr>
                  <pic:blipFill>
                    <a:blip r:embed="rId46"/>
                    <a:stretch>
                      <a:fillRect/>
                    </a:stretch>
                  </pic:blipFill>
                  <pic:spPr>
                    <a:xfrm>
                      <a:off x="0" y="0"/>
                      <a:ext cx="5270500" cy="2933700"/>
                    </a:xfrm>
                    <a:prstGeom prst="rect">
                      <a:avLst/>
                    </a:prstGeom>
                    <a:noFill/>
                    <a:ln>
                      <a:noFill/>
                    </a:ln>
                  </pic:spPr>
                </pic:pic>
              </a:graphicData>
            </a:graphic>
          </wp:inline>
        </w:drawing>
      </w:r>
    </w:p>
    <w:sectPr>
      <w:headerReference r:id="rId3" w:type="default"/>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top w:val="single" w:color="A5A5A5" w:themeColor="accent3" w:sz="24" w:space="5"/>
      </w:pBdr>
      <w:wordWrap w:val="0"/>
      <w:ind w:firstLine="36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ind w:firstLine="360"/>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14"/>
                      <w:ind w:firstLine="360"/>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w:t>
                    </w:r>
                  </w:p>
                </w:txbxContent>
              </v:textbox>
            </v:shape>
          </w:pict>
        </mc:Fallback>
      </mc:AlternateContent>
    </w:r>
    <w:sdt>
      <w:sdtPr>
        <w:rPr>
          <w:lang w:val="zh-CN"/>
        </w:rPr>
        <w:alias w:val="公司"/>
        <w:id w:val="-49926401"/>
        <w:showingPlcHdr/>
        <w:text/>
      </w:sdtPr>
      <w:sdtEndPr>
        <w:rPr>
          <w:lang w:val="zh-CN"/>
        </w:rPr>
      </w:sdtEndPr>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rFonts w:hint="eastAsia"/>
      </w:rPr>
      <w:t>权益类交易子系统（</w:t>
    </w:r>
    <w:r>
      <w:rPr>
        <w:rFonts w:hint="eastAsia"/>
        <w:lang w:eastAsia="zh-CN"/>
      </w:rPr>
      <w:t>土地使用权</w:t>
    </w:r>
    <w:r>
      <w:rPr>
        <w:rFonts w:hint="eastAsia"/>
      </w:rPr>
      <w:t>）-竞买人操作手册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AC8795"/>
    <w:multiLevelType w:val="singleLevel"/>
    <w:tmpl w:val="88AC8795"/>
    <w:lvl w:ilvl="0" w:tentative="0">
      <w:start w:val="1"/>
      <w:numFmt w:val="decimal"/>
      <w:lvlText w:val="(%1)"/>
      <w:lvlJc w:val="left"/>
      <w:pPr>
        <w:ind w:left="425" w:hanging="425"/>
      </w:pPr>
      <w:rPr>
        <w:rFonts w:hint="default"/>
      </w:rPr>
    </w:lvl>
  </w:abstractNum>
  <w:abstractNum w:abstractNumId="1">
    <w:nsid w:val="8A41CA30"/>
    <w:multiLevelType w:val="singleLevel"/>
    <w:tmpl w:val="8A41CA30"/>
    <w:lvl w:ilvl="0" w:tentative="0">
      <w:start w:val="1"/>
      <w:numFmt w:val="decimal"/>
      <w:lvlText w:val="(%1)"/>
      <w:lvlJc w:val="left"/>
      <w:pPr>
        <w:ind w:left="425" w:hanging="425"/>
      </w:pPr>
      <w:rPr>
        <w:rFonts w:hint="default"/>
      </w:rPr>
    </w:lvl>
  </w:abstractNum>
  <w:abstractNum w:abstractNumId="2">
    <w:nsid w:val="8E7AA4A8"/>
    <w:multiLevelType w:val="singleLevel"/>
    <w:tmpl w:val="8E7AA4A8"/>
    <w:lvl w:ilvl="0" w:tentative="0">
      <w:start w:val="1"/>
      <w:numFmt w:val="decimal"/>
      <w:lvlText w:val="(%1)"/>
      <w:lvlJc w:val="left"/>
      <w:pPr>
        <w:ind w:left="425" w:hanging="425"/>
      </w:pPr>
      <w:rPr>
        <w:rFonts w:hint="default"/>
      </w:rPr>
    </w:lvl>
  </w:abstractNum>
  <w:abstractNum w:abstractNumId="3">
    <w:nsid w:val="9D5D99AB"/>
    <w:multiLevelType w:val="singleLevel"/>
    <w:tmpl w:val="9D5D99AB"/>
    <w:lvl w:ilvl="0" w:tentative="0">
      <w:start w:val="1"/>
      <w:numFmt w:val="decimal"/>
      <w:lvlText w:val="(%1)"/>
      <w:lvlJc w:val="left"/>
      <w:pPr>
        <w:ind w:left="425" w:hanging="425"/>
      </w:pPr>
      <w:rPr>
        <w:rFonts w:hint="default"/>
      </w:rPr>
    </w:lvl>
  </w:abstractNum>
  <w:abstractNum w:abstractNumId="4">
    <w:nsid w:val="AAE53C6D"/>
    <w:multiLevelType w:val="singleLevel"/>
    <w:tmpl w:val="AAE53C6D"/>
    <w:lvl w:ilvl="0" w:tentative="0">
      <w:start w:val="1"/>
      <w:numFmt w:val="decimal"/>
      <w:lvlText w:val="(%1)"/>
      <w:lvlJc w:val="left"/>
      <w:pPr>
        <w:ind w:left="425" w:hanging="425"/>
      </w:pPr>
      <w:rPr>
        <w:rFonts w:hint="default"/>
      </w:rPr>
    </w:lvl>
  </w:abstractNum>
  <w:abstractNum w:abstractNumId="5">
    <w:nsid w:val="AC9E9540"/>
    <w:multiLevelType w:val="singleLevel"/>
    <w:tmpl w:val="AC9E9540"/>
    <w:lvl w:ilvl="0" w:tentative="0">
      <w:start w:val="1"/>
      <w:numFmt w:val="decimal"/>
      <w:lvlText w:val="(%1)"/>
      <w:lvlJc w:val="left"/>
      <w:pPr>
        <w:ind w:left="425" w:hanging="425"/>
      </w:pPr>
      <w:rPr>
        <w:rFonts w:hint="default"/>
      </w:rPr>
    </w:lvl>
  </w:abstractNum>
  <w:abstractNum w:abstractNumId="6">
    <w:nsid w:val="B9FE2CB1"/>
    <w:multiLevelType w:val="singleLevel"/>
    <w:tmpl w:val="B9FE2CB1"/>
    <w:lvl w:ilvl="0" w:tentative="0">
      <w:start w:val="1"/>
      <w:numFmt w:val="decimal"/>
      <w:lvlText w:val="(%1)"/>
      <w:lvlJc w:val="left"/>
      <w:pPr>
        <w:ind w:left="425" w:hanging="425"/>
      </w:pPr>
      <w:rPr>
        <w:rFonts w:hint="default"/>
      </w:rPr>
    </w:lvl>
  </w:abstractNum>
  <w:abstractNum w:abstractNumId="7">
    <w:nsid w:val="C5895578"/>
    <w:multiLevelType w:val="singleLevel"/>
    <w:tmpl w:val="C5895578"/>
    <w:lvl w:ilvl="0" w:tentative="0">
      <w:start w:val="1"/>
      <w:numFmt w:val="decimal"/>
      <w:lvlText w:val="(%1)"/>
      <w:lvlJc w:val="left"/>
      <w:pPr>
        <w:ind w:left="425" w:hanging="425"/>
      </w:pPr>
      <w:rPr>
        <w:rFonts w:hint="default"/>
      </w:rPr>
    </w:lvl>
  </w:abstractNum>
  <w:abstractNum w:abstractNumId="8">
    <w:nsid w:val="D65DEB54"/>
    <w:multiLevelType w:val="singleLevel"/>
    <w:tmpl w:val="D65DEB54"/>
    <w:lvl w:ilvl="0" w:tentative="0">
      <w:start w:val="1"/>
      <w:numFmt w:val="decimal"/>
      <w:lvlText w:val="(%1)"/>
      <w:lvlJc w:val="left"/>
      <w:pPr>
        <w:ind w:left="425" w:hanging="425"/>
      </w:pPr>
      <w:rPr>
        <w:rFonts w:hint="default"/>
      </w:rPr>
    </w:lvl>
  </w:abstractNum>
  <w:abstractNum w:abstractNumId="9">
    <w:nsid w:val="E11CD2DF"/>
    <w:multiLevelType w:val="singleLevel"/>
    <w:tmpl w:val="E11CD2DF"/>
    <w:lvl w:ilvl="0" w:tentative="0">
      <w:start w:val="1"/>
      <w:numFmt w:val="decimal"/>
      <w:lvlText w:val="(%1)"/>
      <w:lvlJc w:val="left"/>
      <w:pPr>
        <w:ind w:left="425" w:hanging="425"/>
      </w:pPr>
      <w:rPr>
        <w:rFonts w:hint="default"/>
      </w:rPr>
    </w:lvl>
  </w:abstractNum>
  <w:abstractNum w:abstractNumId="10">
    <w:nsid w:val="EC767F66"/>
    <w:multiLevelType w:val="singleLevel"/>
    <w:tmpl w:val="EC767F66"/>
    <w:lvl w:ilvl="0" w:tentative="0">
      <w:start w:val="1"/>
      <w:numFmt w:val="decimalEnclosedCircleChinese"/>
      <w:suff w:val="nothing"/>
      <w:lvlText w:val="%1　"/>
      <w:lvlJc w:val="left"/>
      <w:pPr>
        <w:ind w:left="0" w:firstLine="400"/>
      </w:pPr>
      <w:rPr>
        <w:rFonts w:hint="eastAsia"/>
      </w:rPr>
    </w:lvl>
  </w:abstractNum>
  <w:abstractNum w:abstractNumId="11">
    <w:nsid w:val="ECF888F4"/>
    <w:multiLevelType w:val="singleLevel"/>
    <w:tmpl w:val="ECF888F4"/>
    <w:lvl w:ilvl="0" w:tentative="0">
      <w:start w:val="1"/>
      <w:numFmt w:val="decimal"/>
      <w:lvlText w:val="(%1)"/>
      <w:lvlJc w:val="left"/>
      <w:pPr>
        <w:ind w:left="425" w:hanging="425"/>
      </w:pPr>
      <w:rPr>
        <w:rFonts w:hint="default"/>
      </w:rPr>
    </w:lvl>
  </w:abstractNum>
  <w:abstractNum w:abstractNumId="12">
    <w:nsid w:val="F683228D"/>
    <w:multiLevelType w:val="singleLevel"/>
    <w:tmpl w:val="F683228D"/>
    <w:lvl w:ilvl="0" w:tentative="0">
      <w:start w:val="1"/>
      <w:numFmt w:val="decimal"/>
      <w:lvlText w:val="(%1)"/>
      <w:lvlJc w:val="left"/>
      <w:pPr>
        <w:ind w:left="425" w:hanging="425"/>
      </w:pPr>
      <w:rPr>
        <w:rFonts w:hint="default"/>
      </w:rPr>
    </w:lvl>
  </w:abstractNum>
  <w:abstractNum w:abstractNumId="13">
    <w:nsid w:val="035B4EA3"/>
    <w:multiLevelType w:val="multilevel"/>
    <w:tmpl w:val="035B4EA3"/>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4">
    <w:nsid w:val="316FA865"/>
    <w:multiLevelType w:val="singleLevel"/>
    <w:tmpl w:val="316FA865"/>
    <w:lvl w:ilvl="0" w:tentative="0">
      <w:start w:val="1"/>
      <w:numFmt w:val="decimal"/>
      <w:lvlText w:val="(%1)"/>
      <w:lvlJc w:val="left"/>
      <w:pPr>
        <w:ind w:left="425" w:hanging="425"/>
      </w:pPr>
      <w:rPr>
        <w:rFonts w:hint="default"/>
      </w:rPr>
    </w:lvl>
  </w:abstractNum>
  <w:abstractNum w:abstractNumId="15">
    <w:nsid w:val="3773C4C0"/>
    <w:multiLevelType w:val="singleLevel"/>
    <w:tmpl w:val="3773C4C0"/>
    <w:lvl w:ilvl="0" w:tentative="0">
      <w:start w:val="1"/>
      <w:numFmt w:val="decimal"/>
      <w:lvlText w:val="(%1)"/>
      <w:lvlJc w:val="left"/>
      <w:pPr>
        <w:ind w:left="425" w:hanging="425"/>
      </w:pPr>
      <w:rPr>
        <w:rFonts w:hint="default"/>
      </w:rPr>
    </w:lvl>
  </w:abstractNum>
  <w:abstractNum w:abstractNumId="16">
    <w:nsid w:val="44C586DE"/>
    <w:multiLevelType w:val="singleLevel"/>
    <w:tmpl w:val="44C586DE"/>
    <w:lvl w:ilvl="0" w:tentative="0">
      <w:start w:val="1"/>
      <w:numFmt w:val="decimal"/>
      <w:lvlText w:val="(%1)"/>
      <w:lvlJc w:val="left"/>
      <w:pPr>
        <w:ind w:left="425" w:hanging="425"/>
      </w:pPr>
      <w:rPr>
        <w:rFonts w:hint="default"/>
      </w:rPr>
    </w:lvl>
  </w:abstractNum>
  <w:abstractNum w:abstractNumId="17">
    <w:nsid w:val="536ED56F"/>
    <w:multiLevelType w:val="singleLevel"/>
    <w:tmpl w:val="536ED56F"/>
    <w:lvl w:ilvl="0" w:tentative="0">
      <w:start w:val="1"/>
      <w:numFmt w:val="decimal"/>
      <w:lvlText w:val="(%1)"/>
      <w:lvlJc w:val="left"/>
      <w:pPr>
        <w:ind w:left="425" w:hanging="425"/>
      </w:pPr>
      <w:rPr>
        <w:rFonts w:hint="default"/>
      </w:rPr>
    </w:lvl>
  </w:abstractNum>
  <w:abstractNum w:abstractNumId="18">
    <w:nsid w:val="5FB37604"/>
    <w:multiLevelType w:val="singleLevel"/>
    <w:tmpl w:val="5FB37604"/>
    <w:lvl w:ilvl="0" w:tentative="0">
      <w:start w:val="1"/>
      <w:numFmt w:val="decimal"/>
      <w:lvlText w:val="(%1)"/>
      <w:lvlJc w:val="left"/>
      <w:pPr>
        <w:ind w:left="425" w:hanging="425"/>
      </w:pPr>
      <w:rPr>
        <w:rFonts w:hint="default"/>
      </w:rPr>
    </w:lvl>
  </w:abstractNum>
  <w:abstractNum w:abstractNumId="19">
    <w:nsid w:val="72D72304"/>
    <w:multiLevelType w:val="singleLevel"/>
    <w:tmpl w:val="72D72304"/>
    <w:lvl w:ilvl="0" w:tentative="0">
      <w:start w:val="1"/>
      <w:numFmt w:val="decimal"/>
      <w:lvlText w:val="(%1)"/>
      <w:lvlJc w:val="left"/>
      <w:pPr>
        <w:ind w:left="425" w:hanging="425"/>
      </w:pPr>
      <w:rPr>
        <w:rFonts w:hint="default"/>
      </w:rPr>
    </w:lvl>
  </w:abstractNum>
  <w:abstractNum w:abstractNumId="20">
    <w:nsid w:val="7DCEB19A"/>
    <w:multiLevelType w:val="singleLevel"/>
    <w:tmpl w:val="7DCEB19A"/>
    <w:lvl w:ilvl="0" w:tentative="0">
      <w:start w:val="1"/>
      <w:numFmt w:val="decimal"/>
      <w:lvlText w:val="(%1)"/>
      <w:lvlJc w:val="left"/>
      <w:pPr>
        <w:ind w:left="425" w:hanging="425"/>
      </w:pPr>
      <w:rPr>
        <w:rFonts w:hint="default"/>
      </w:rPr>
    </w:lvl>
  </w:abstractNum>
  <w:abstractNum w:abstractNumId="21">
    <w:nsid w:val="7E612824"/>
    <w:multiLevelType w:val="singleLevel"/>
    <w:tmpl w:val="7E612824"/>
    <w:lvl w:ilvl="0" w:tentative="0">
      <w:start w:val="1"/>
      <w:numFmt w:val="decimalEnclosedCircleChinese"/>
      <w:suff w:val="nothing"/>
      <w:lvlText w:val="%1　"/>
      <w:lvlJc w:val="left"/>
      <w:pPr>
        <w:ind w:left="0" w:firstLine="400"/>
      </w:pPr>
      <w:rPr>
        <w:rFonts w:hint="eastAsia"/>
      </w:rPr>
    </w:lvl>
  </w:abstractNum>
  <w:num w:numId="1">
    <w:abstractNumId w:val="13"/>
  </w:num>
  <w:num w:numId="2">
    <w:abstractNumId w:val="14"/>
  </w:num>
  <w:num w:numId="3">
    <w:abstractNumId w:val="12"/>
  </w:num>
  <w:num w:numId="4">
    <w:abstractNumId w:val="16"/>
  </w:num>
  <w:num w:numId="5">
    <w:abstractNumId w:val="1"/>
  </w:num>
  <w:num w:numId="6">
    <w:abstractNumId w:val="21"/>
  </w:num>
  <w:num w:numId="7">
    <w:abstractNumId w:val="20"/>
  </w:num>
  <w:num w:numId="8">
    <w:abstractNumId w:val="19"/>
  </w:num>
  <w:num w:numId="9">
    <w:abstractNumId w:val="11"/>
  </w:num>
  <w:num w:numId="10">
    <w:abstractNumId w:val="4"/>
  </w:num>
  <w:num w:numId="11">
    <w:abstractNumId w:val="0"/>
  </w:num>
  <w:num w:numId="12">
    <w:abstractNumId w:val="5"/>
  </w:num>
  <w:num w:numId="13">
    <w:abstractNumId w:val="8"/>
  </w:num>
  <w:num w:numId="14">
    <w:abstractNumId w:val="15"/>
  </w:num>
  <w:num w:numId="15">
    <w:abstractNumId w:val="6"/>
  </w:num>
  <w:num w:numId="16">
    <w:abstractNumId w:val="2"/>
  </w:num>
  <w:num w:numId="17">
    <w:abstractNumId w:val="7"/>
  </w:num>
  <w:num w:numId="18">
    <w:abstractNumId w:val="18"/>
  </w:num>
  <w:num w:numId="19">
    <w:abstractNumId w:val="10"/>
  </w:num>
  <w:num w:numId="20">
    <w:abstractNumId w:val="3"/>
  </w:num>
  <w:num w:numId="21">
    <w:abstractNumId w:val="17"/>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701B4C"/>
    <w:rsid w:val="000033DD"/>
    <w:rsid w:val="000048DB"/>
    <w:rsid w:val="00004CD3"/>
    <w:rsid w:val="00005004"/>
    <w:rsid w:val="0000573F"/>
    <w:rsid w:val="00006539"/>
    <w:rsid w:val="00006740"/>
    <w:rsid w:val="00006C6E"/>
    <w:rsid w:val="00007180"/>
    <w:rsid w:val="000074DD"/>
    <w:rsid w:val="00023C34"/>
    <w:rsid w:val="00024D13"/>
    <w:rsid w:val="00027EE3"/>
    <w:rsid w:val="00034730"/>
    <w:rsid w:val="00034B1D"/>
    <w:rsid w:val="0004466A"/>
    <w:rsid w:val="00045A6B"/>
    <w:rsid w:val="00046C4A"/>
    <w:rsid w:val="00047FD7"/>
    <w:rsid w:val="00076C94"/>
    <w:rsid w:val="00081E86"/>
    <w:rsid w:val="0008408A"/>
    <w:rsid w:val="0008495B"/>
    <w:rsid w:val="00093E66"/>
    <w:rsid w:val="00094A65"/>
    <w:rsid w:val="000951D5"/>
    <w:rsid w:val="00097A1E"/>
    <w:rsid w:val="000A3725"/>
    <w:rsid w:val="000A39DB"/>
    <w:rsid w:val="000A4EEC"/>
    <w:rsid w:val="000A78FA"/>
    <w:rsid w:val="000B66F7"/>
    <w:rsid w:val="000B727F"/>
    <w:rsid w:val="000C001D"/>
    <w:rsid w:val="000C14EF"/>
    <w:rsid w:val="000C3ACF"/>
    <w:rsid w:val="000C4DF6"/>
    <w:rsid w:val="000D490D"/>
    <w:rsid w:val="000E1233"/>
    <w:rsid w:val="000E6DEC"/>
    <w:rsid w:val="000E7C34"/>
    <w:rsid w:val="000F0CF8"/>
    <w:rsid w:val="000F18ED"/>
    <w:rsid w:val="000F25D2"/>
    <w:rsid w:val="000F502C"/>
    <w:rsid w:val="00104BA0"/>
    <w:rsid w:val="00106D7D"/>
    <w:rsid w:val="001070B5"/>
    <w:rsid w:val="00125356"/>
    <w:rsid w:val="001261B2"/>
    <w:rsid w:val="0015053B"/>
    <w:rsid w:val="00153FB3"/>
    <w:rsid w:val="00163905"/>
    <w:rsid w:val="00176E68"/>
    <w:rsid w:val="00180F8B"/>
    <w:rsid w:val="001821EC"/>
    <w:rsid w:val="00183FBF"/>
    <w:rsid w:val="00192BA5"/>
    <w:rsid w:val="0019403E"/>
    <w:rsid w:val="0019549C"/>
    <w:rsid w:val="00195B70"/>
    <w:rsid w:val="001A0694"/>
    <w:rsid w:val="001A3AC3"/>
    <w:rsid w:val="001A73BC"/>
    <w:rsid w:val="001B01D3"/>
    <w:rsid w:val="001B2CEC"/>
    <w:rsid w:val="001B5AD1"/>
    <w:rsid w:val="001C2B86"/>
    <w:rsid w:val="001D64A3"/>
    <w:rsid w:val="001E5184"/>
    <w:rsid w:val="001E551C"/>
    <w:rsid w:val="001E7484"/>
    <w:rsid w:val="00200539"/>
    <w:rsid w:val="00202098"/>
    <w:rsid w:val="00204746"/>
    <w:rsid w:val="00204957"/>
    <w:rsid w:val="00205D6D"/>
    <w:rsid w:val="00206478"/>
    <w:rsid w:val="002066A4"/>
    <w:rsid w:val="0022003E"/>
    <w:rsid w:val="00221634"/>
    <w:rsid w:val="00225121"/>
    <w:rsid w:val="00232C87"/>
    <w:rsid w:val="002347FC"/>
    <w:rsid w:val="00235AA7"/>
    <w:rsid w:val="00244CA0"/>
    <w:rsid w:val="002519FC"/>
    <w:rsid w:val="00252445"/>
    <w:rsid w:val="00253793"/>
    <w:rsid w:val="002543A3"/>
    <w:rsid w:val="00276570"/>
    <w:rsid w:val="00280075"/>
    <w:rsid w:val="002952CD"/>
    <w:rsid w:val="0029546D"/>
    <w:rsid w:val="002A4185"/>
    <w:rsid w:val="002A4429"/>
    <w:rsid w:val="002A6EDC"/>
    <w:rsid w:val="002B0098"/>
    <w:rsid w:val="002B1D5D"/>
    <w:rsid w:val="002B1E19"/>
    <w:rsid w:val="002B49D7"/>
    <w:rsid w:val="002C052D"/>
    <w:rsid w:val="002C11C8"/>
    <w:rsid w:val="002C1C49"/>
    <w:rsid w:val="002C55C4"/>
    <w:rsid w:val="002C5787"/>
    <w:rsid w:val="002C66F8"/>
    <w:rsid w:val="002C6AC9"/>
    <w:rsid w:val="002C70D5"/>
    <w:rsid w:val="002D06D4"/>
    <w:rsid w:val="002D12DF"/>
    <w:rsid w:val="002D7F14"/>
    <w:rsid w:val="002E7422"/>
    <w:rsid w:val="002F193C"/>
    <w:rsid w:val="002F5CBE"/>
    <w:rsid w:val="00310F03"/>
    <w:rsid w:val="0031779E"/>
    <w:rsid w:val="0033017A"/>
    <w:rsid w:val="00332F8A"/>
    <w:rsid w:val="00333F88"/>
    <w:rsid w:val="00346017"/>
    <w:rsid w:val="00351EA6"/>
    <w:rsid w:val="00354011"/>
    <w:rsid w:val="003575ED"/>
    <w:rsid w:val="00357DAC"/>
    <w:rsid w:val="003609A0"/>
    <w:rsid w:val="003678FC"/>
    <w:rsid w:val="003722E0"/>
    <w:rsid w:val="00390141"/>
    <w:rsid w:val="00392397"/>
    <w:rsid w:val="00396E7B"/>
    <w:rsid w:val="003A3608"/>
    <w:rsid w:val="003A46B4"/>
    <w:rsid w:val="003A5675"/>
    <w:rsid w:val="003B0EFA"/>
    <w:rsid w:val="003B1F88"/>
    <w:rsid w:val="003C2D8E"/>
    <w:rsid w:val="003D5E5B"/>
    <w:rsid w:val="003D6BB0"/>
    <w:rsid w:val="003E00D0"/>
    <w:rsid w:val="003E35A9"/>
    <w:rsid w:val="003E5C3A"/>
    <w:rsid w:val="003F2502"/>
    <w:rsid w:val="003F3471"/>
    <w:rsid w:val="003F566F"/>
    <w:rsid w:val="003F6E68"/>
    <w:rsid w:val="003F73BD"/>
    <w:rsid w:val="0040515F"/>
    <w:rsid w:val="00407B29"/>
    <w:rsid w:val="00417916"/>
    <w:rsid w:val="004211B5"/>
    <w:rsid w:val="00430FDA"/>
    <w:rsid w:val="0043372D"/>
    <w:rsid w:val="004538BD"/>
    <w:rsid w:val="004566AA"/>
    <w:rsid w:val="0046006D"/>
    <w:rsid w:val="00460E5A"/>
    <w:rsid w:val="00465E21"/>
    <w:rsid w:val="00475ABC"/>
    <w:rsid w:val="00480516"/>
    <w:rsid w:val="00480683"/>
    <w:rsid w:val="0048420B"/>
    <w:rsid w:val="00492208"/>
    <w:rsid w:val="004973A9"/>
    <w:rsid w:val="004A0C12"/>
    <w:rsid w:val="004A1904"/>
    <w:rsid w:val="004A70C5"/>
    <w:rsid w:val="004B18E8"/>
    <w:rsid w:val="004B5799"/>
    <w:rsid w:val="004C1C5A"/>
    <w:rsid w:val="004D00E2"/>
    <w:rsid w:val="004D2761"/>
    <w:rsid w:val="004D36CC"/>
    <w:rsid w:val="004E187C"/>
    <w:rsid w:val="004E1D73"/>
    <w:rsid w:val="004E4E71"/>
    <w:rsid w:val="004E6594"/>
    <w:rsid w:val="00507ED4"/>
    <w:rsid w:val="00514701"/>
    <w:rsid w:val="005410D8"/>
    <w:rsid w:val="00541167"/>
    <w:rsid w:val="00557B24"/>
    <w:rsid w:val="005617E9"/>
    <w:rsid w:val="00562142"/>
    <w:rsid w:val="00564778"/>
    <w:rsid w:val="00565653"/>
    <w:rsid w:val="00572EB8"/>
    <w:rsid w:val="00580F02"/>
    <w:rsid w:val="005A292D"/>
    <w:rsid w:val="005B05DC"/>
    <w:rsid w:val="005D1043"/>
    <w:rsid w:val="005E0BA3"/>
    <w:rsid w:val="005F7B44"/>
    <w:rsid w:val="00605FCB"/>
    <w:rsid w:val="00613C93"/>
    <w:rsid w:val="006156B3"/>
    <w:rsid w:val="00615BEA"/>
    <w:rsid w:val="006205A4"/>
    <w:rsid w:val="006223F5"/>
    <w:rsid w:val="00623156"/>
    <w:rsid w:val="00633C14"/>
    <w:rsid w:val="00645640"/>
    <w:rsid w:val="006479BE"/>
    <w:rsid w:val="00652C66"/>
    <w:rsid w:val="0066059A"/>
    <w:rsid w:val="00660FAC"/>
    <w:rsid w:val="00663271"/>
    <w:rsid w:val="006639C3"/>
    <w:rsid w:val="0066538F"/>
    <w:rsid w:val="00675ED0"/>
    <w:rsid w:val="00676CF7"/>
    <w:rsid w:val="00680192"/>
    <w:rsid w:val="00696264"/>
    <w:rsid w:val="006A0433"/>
    <w:rsid w:val="006A3259"/>
    <w:rsid w:val="006A406F"/>
    <w:rsid w:val="006A5E45"/>
    <w:rsid w:val="006B1D0B"/>
    <w:rsid w:val="006B27DF"/>
    <w:rsid w:val="006B73A5"/>
    <w:rsid w:val="006D3417"/>
    <w:rsid w:val="006D3FAA"/>
    <w:rsid w:val="006D4065"/>
    <w:rsid w:val="006E7195"/>
    <w:rsid w:val="006E754A"/>
    <w:rsid w:val="006F068F"/>
    <w:rsid w:val="00701B4C"/>
    <w:rsid w:val="00702F5B"/>
    <w:rsid w:val="0070671C"/>
    <w:rsid w:val="007078A2"/>
    <w:rsid w:val="00707DF6"/>
    <w:rsid w:val="00707EFB"/>
    <w:rsid w:val="007109EA"/>
    <w:rsid w:val="00712678"/>
    <w:rsid w:val="00715253"/>
    <w:rsid w:val="00717173"/>
    <w:rsid w:val="007219DA"/>
    <w:rsid w:val="0073066C"/>
    <w:rsid w:val="007401D5"/>
    <w:rsid w:val="00741A2F"/>
    <w:rsid w:val="00741B5F"/>
    <w:rsid w:val="007460C4"/>
    <w:rsid w:val="007475A0"/>
    <w:rsid w:val="00757B75"/>
    <w:rsid w:val="007734C6"/>
    <w:rsid w:val="007759D3"/>
    <w:rsid w:val="00781A96"/>
    <w:rsid w:val="0078469F"/>
    <w:rsid w:val="0079082C"/>
    <w:rsid w:val="007A49AD"/>
    <w:rsid w:val="007B1BD5"/>
    <w:rsid w:val="007C381C"/>
    <w:rsid w:val="007C6FBF"/>
    <w:rsid w:val="007C7FA9"/>
    <w:rsid w:val="007D2B64"/>
    <w:rsid w:val="007D4B93"/>
    <w:rsid w:val="007D6C29"/>
    <w:rsid w:val="007E0C77"/>
    <w:rsid w:val="007E4B63"/>
    <w:rsid w:val="007E4EC9"/>
    <w:rsid w:val="007E6E63"/>
    <w:rsid w:val="007F35A6"/>
    <w:rsid w:val="007F3742"/>
    <w:rsid w:val="007F4BD8"/>
    <w:rsid w:val="007F72F5"/>
    <w:rsid w:val="00801720"/>
    <w:rsid w:val="0080347B"/>
    <w:rsid w:val="00804379"/>
    <w:rsid w:val="00805B79"/>
    <w:rsid w:val="00806F95"/>
    <w:rsid w:val="00813ABA"/>
    <w:rsid w:val="00815094"/>
    <w:rsid w:val="00823835"/>
    <w:rsid w:val="00825772"/>
    <w:rsid w:val="00826670"/>
    <w:rsid w:val="008278A3"/>
    <w:rsid w:val="008325D6"/>
    <w:rsid w:val="008353BF"/>
    <w:rsid w:val="00836871"/>
    <w:rsid w:val="00841F6F"/>
    <w:rsid w:val="00847B63"/>
    <w:rsid w:val="00850AA5"/>
    <w:rsid w:val="00851A24"/>
    <w:rsid w:val="0085790A"/>
    <w:rsid w:val="008627DF"/>
    <w:rsid w:val="00867BD8"/>
    <w:rsid w:val="00870586"/>
    <w:rsid w:val="00872682"/>
    <w:rsid w:val="008727E2"/>
    <w:rsid w:val="00872BF1"/>
    <w:rsid w:val="008740E6"/>
    <w:rsid w:val="0087485A"/>
    <w:rsid w:val="0088773C"/>
    <w:rsid w:val="00890AD0"/>
    <w:rsid w:val="00891CBB"/>
    <w:rsid w:val="008A24EB"/>
    <w:rsid w:val="008A636E"/>
    <w:rsid w:val="008B32ED"/>
    <w:rsid w:val="008B506A"/>
    <w:rsid w:val="008B570C"/>
    <w:rsid w:val="008B5F36"/>
    <w:rsid w:val="008C04AC"/>
    <w:rsid w:val="008C164C"/>
    <w:rsid w:val="008C6BCC"/>
    <w:rsid w:val="008C7D13"/>
    <w:rsid w:val="008D168E"/>
    <w:rsid w:val="008D4823"/>
    <w:rsid w:val="008E505C"/>
    <w:rsid w:val="008F222E"/>
    <w:rsid w:val="00900AA3"/>
    <w:rsid w:val="0090440F"/>
    <w:rsid w:val="0091634A"/>
    <w:rsid w:val="00916CC8"/>
    <w:rsid w:val="00922EB2"/>
    <w:rsid w:val="0092731A"/>
    <w:rsid w:val="00932902"/>
    <w:rsid w:val="00932B4B"/>
    <w:rsid w:val="00935CE8"/>
    <w:rsid w:val="0094733B"/>
    <w:rsid w:val="009501FD"/>
    <w:rsid w:val="00950F91"/>
    <w:rsid w:val="00952A3F"/>
    <w:rsid w:val="00957657"/>
    <w:rsid w:val="00961DB5"/>
    <w:rsid w:val="0096385A"/>
    <w:rsid w:val="00966604"/>
    <w:rsid w:val="00970C23"/>
    <w:rsid w:val="00970D4C"/>
    <w:rsid w:val="00972E68"/>
    <w:rsid w:val="00976D10"/>
    <w:rsid w:val="00980973"/>
    <w:rsid w:val="00982D07"/>
    <w:rsid w:val="00990797"/>
    <w:rsid w:val="00990E44"/>
    <w:rsid w:val="00995203"/>
    <w:rsid w:val="00995E0C"/>
    <w:rsid w:val="009A7B1A"/>
    <w:rsid w:val="009B05E1"/>
    <w:rsid w:val="009B21DA"/>
    <w:rsid w:val="009B57C6"/>
    <w:rsid w:val="009B7B77"/>
    <w:rsid w:val="009C0863"/>
    <w:rsid w:val="009C2F7B"/>
    <w:rsid w:val="009D7913"/>
    <w:rsid w:val="009E1197"/>
    <w:rsid w:val="009E14DE"/>
    <w:rsid w:val="009F0B59"/>
    <w:rsid w:val="009F0E99"/>
    <w:rsid w:val="009F64B8"/>
    <w:rsid w:val="00A02351"/>
    <w:rsid w:val="00A05606"/>
    <w:rsid w:val="00A07D07"/>
    <w:rsid w:val="00A15853"/>
    <w:rsid w:val="00A16A38"/>
    <w:rsid w:val="00A21667"/>
    <w:rsid w:val="00A23463"/>
    <w:rsid w:val="00A251EE"/>
    <w:rsid w:val="00A33EB3"/>
    <w:rsid w:val="00A35A27"/>
    <w:rsid w:val="00A43A53"/>
    <w:rsid w:val="00A45FF7"/>
    <w:rsid w:val="00A47367"/>
    <w:rsid w:val="00A53E54"/>
    <w:rsid w:val="00A60F74"/>
    <w:rsid w:val="00A61482"/>
    <w:rsid w:val="00A67FA1"/>
    <w:rsid w:val="00A75983"/>
    <w:rsid w:val="00A814E8"/>
    <w:rsid w:val="00A84661"/>
    <w:rsid w:val="00A866B6"/>
    <w:rsid w:val="00A87A95"/>
    <w:rsid w:val="00A9137F"/>
    <w:rsid w:val="00A95901"/>
    <w:rsid w:val="00A96DE7"/>
    <w:rsid w:val="00AA205B"/>
    <w:rsid w:val="00AA3D34"/>
    <w:rsid w:val="00AA6BEC"/>
    <w:rsid w:val="00AB0AD7"/>
    <w:rsid w:val="00AB194F"/>
    <w:rsid w:val="00AB3D46"/>
    <w:rsid w:val="00AB7905"/>
    <w:rsid w:val="00AC1F93"/>
    <w:rsid w:val="00AE14C6"/>
    <w:rsid w:val="00AE26C5"/>
    <w:rsid w:val="00AE3A19"/>
    <w:rsid w:val="00AF09DC"/>
    <w:rsid w:val="00AF6D13"/>
    <w:rsid w:val="00B008EF"/>
    <w:rsid w:val="00B05707"/>
    <w:rsid w:val="00B161CB"/>
    <w:rsid w:val="00B22EDC"/>
    <w:rsid w:val="00B259B7"/>
    <w:rsid w:val="00B33359"/>
    <w:rsid w:val="00B362B9"/>
    <w:rsid w:val="00B50049"/>
    <w:rsid w:val="00B51C39"/>
    <w:rsid w:val="00B539BF"/>
    <w:rsid w:val="00B54769"/>
    <w:rsid w:val="00B61027"/>
    <w:rsid w:val="00B613CF"/>
    <w:rsid w:val="00B678CD"/>
    <w:rsid w:val="00B7361A"/>
    <w:rsid w:val="00B73B0A"/>
    <w:rsid w:val="00B77A38"/>
    <w:rsid w:val="00B855A4"/>
    <w:rsid w:val="00B91064"/>
    <w:rsid w:val="00BA0669"/>
    <w:rsid w:val="00BA1424"/>
    <w:rsid w:val="00BA5702"/>
    <w:rsid w:val="00BB0D72"/>
    <w:rsid w:val="00BB4F71"/>
    <w:rsid w:val="00BB7DBC"/>
    <w:rsid w:val="00BC0481"/>
    <w:rsid w:val="00BD73D1"/>
    <w:rsid w:val="00BE2481"/>
    <w:rsid w:val="00BE61E7"/>
    <w:rsid w:val="00BF655C"/>
    <w:rsid w:val="00BF683B"/>
    <w:rsid w:val="00BF7843"/>
    <w:rsid w:val="00C06546"/>
    <w:rsid w:val="00C22A3C"/>
    <w:rsid w:val="00C24385"/>
    <w:rsid w:val="00C30BEF"/>
    <w:rsid w:val="00C310D6"/>
    <w:rsid w:val="00C32EB7"/>
    <w:rsid w:val="00C40C8D"/>
    <w:rsid w:val="00C41904"/>
    <w:rsid w:val="00C47087"/>
    <w:rsid w:val="00C536C8"/>
    <w:rsid w:val="00C53953"/>
    <w:rsid w:val="00C53CE1"/>
    <w:rsid w:val="00C54C56"/>
    <w:rsid w:val="00C57A5F"/>
    <w:rsid w:val="00C60122"/>
    <w:rsid w:val="00C612CB"/>
    <w:rsid w:val="00C633E2"/>
    <w:rsid w:val="00C72D93"/>
    <w:rsid w:val="00C775C3"/>
    <w:rsid w:val="00C80AAF"/>
    <w:rsid w:val="00C825AB"/>
    <w:rsid w:val="00C861BE"/>
    <w:rsid w:val="00C9058A"/>
    <w:rsid w:val="00C90681"/>
    <w:rsid w:val="00C970BF"/>
    <w:rsid w:val="00CB36EB"/>
    <w:rsid w:val="00CD77A3"/>
    <w:rsid w:val="00CE1B61"/>
    <w:rsid w:val="00CE45B7"/>
    <w:rsid w:val="00CE49D3"/>
    <w:rsid w:val="00CE676A"/>
    <w:rsid w:val="00CF17DD"/>
    <w:rsid w:val="00D021EF"/>
    <w:rsid w:val="00D03EDB"/>
    <w:rsid w:val="00D06173"/>
    <w:rsid w:val="00D156FC"/>
    <w:rsid w:val="00D15D48"/>
    <w:rsid w:val="00D16453"/>
    <w:rsid w:val="00D27282"/>
    <w:rsid w:val="00D37D3F"/>
    <w:rsid w:val="00D42A54"/>
    <w:rsid w:val="00D43343"/>
    <w:rsid w:val="00D514CE"/>
    <w:rsid w:val="00D52E8D"/>
    <w:rsid w:val="00D5618C"/>
    <w:rsid w:val="00D569F7"/>
    <w:rsid w:val="00D6102F"/>
    <w:rsid w:val="00D6229D"/>
    <w:rsid w:val="00D67531"/>
    <w:rsid w:val="00D7012E"/>
    <w:rsid w:val="00D71F2F"/>
    <w:rsid w:val="00D72011"/>
    <w:rsid w:val="00D72585"/>
    <w:rsid w:val="00D74712"/>
    <w:rsid w:val="00D75294"/>
    <w:rsid w:val="00D75DE9"/>
    <w:rsid w:val="00D80EC9"/>
    <w:rsid w:val="00D81CAB"/>
    <w:rsid w:val="00D82084"/>
    <w:rsid w:val="00D82D72"/>
    <w:rsid w:val="00D86D78"/>
    <w:rsid w:val="00D87DFC"/>
    <w:rsid w:val="00D90DAD"/>
    <w:rsid w:val="00D9573B"/>
    <w:rsid w:val="00D97177"/>
    <w:rsid w:val="00DB71E5"/>
    <w:rsid w:val="00DC05C4"/>
    <w:rsid w:val="00DC254F"/>
    <w:rsid w:val="00DC5A18"/>
    <w:rsid w:val="00DC70A6"/>
    <w:rsid w:val="00DD1E27"/>
    <w:rsid w:val="00DD1EAC"/>
    <w:rsid w:val="00DD21C9"/>
    <w:rsid w:val="00DD2B80"/>
    <w:rsid w:val="00DD43B6"/>
    <w:rsid w:val="00DE26F5"/>
    <w:rsid w:val="00DE34FA"/>
    <w:rsid w:val="00DF22D3"/>
    <w:rsid w:val="00DF42DB"/>
    <w:rsid w:val="00DF4381"/>
    <w:rsid w:val="00DF488F"/>
    <w:rsid w:val="00DF7EF2"/>
    <w:rsid w:val="00E005C1"/>
    <w:rsid w:val="00E035F5"/>
    <w:rsid w:val="00E10705"/>
    <w:rsid w:val="00E113DE"/>
    <w:rsid w:val="00E1204C"/>
    <w:rsid w:val="00E12676"/>
    <w:rsid w:val="00E13BFC"/>
    <w:rsid w:val="00E13FB8"/>
    <w:rsid w:val="00E274DF"/>
    <w:rsid w:val="00E27941"/>
    <w:rsid w:val="00E44C37"/>
    <w:rsid w:val="00E44CC7"/>
    <w:rsid w:val="00E50F85"/>
    <w:rsid w:val="00E5209F"/>
    <w:rsid w:val="00E605D5"/>
    <w:rsid w:val="00E62D74"/>
    <w:rsid w:val="00E71428"/>
    <w:rsid w:val="00E842FC"/>
    <w:rsid w:val="00E92892"/>
    <w:rsid w:val="00EA1CA8"/>
    <w:rsid w:val="00EA3606"/>
    <w:rsid w:val="00EA5893"/>
    <w:rsid w:val="00EA743C"/>
    <w:rsid w:val="00EB2404"/>
    <w:rsid w:val="00EB48AB"/>
    <w:rsid w:val="00EC09A7"/>
    <w:rsid w:val="00EC21EC"/>
    <w:rsid w:val="00EC2CF0"/>
    <w:rsid w:val="00EC731D"/>
    <w:rsid w:val="00EC7D5E"/>
    <w:rsid w:val="00ED4D39"/>
    <w:rsid w:val="00EF08C2"/>
    <w:rsid w:val="00EF0F47"/>
    <w:rsid w:val="00EF6165"/>
    <w:rsid w:val="00EF7C23"/>
    <w:rsid w:val="00F10043"/>
    <w:rsid w:val="00F10D40"/>
    <w:rsid w:val="00F10E71"/>
    <w:rsid w:val="00F1262C"/>
    <w:rsid w:val="00F12B83"/>
    <w:rsid w:val="00F2372E"/>
    <w:rsid w:val="00F24CBD"/>
    <w:rsid w:val="00F3013B"/>
    <w:rsid w:val="00F32379"/>
    <w:rsid w:val="00F35D0D"/>
    <w:rsid w:val="00F37171"/>
    <w:rsid w:val="00F43DE4"/>
    <w:rsid w:val="00F443C3"/>
    <w:rsid w:val="00F5188A"/>
    <w:rsid w:val="00F53449"/>
    <w:rsid w:val="00F569D5"/>
    <w:rsid w:val="00F63207"/>
    <w:rsid w:val="00F655F6"/>
    <w:rsid w:val="00F726E6"/>
    <w:rsid w:val="00F75A94"/>
    <w:rsid w:val="00F76671"/>
    <w:rsid w:val="00F801E8"/>
    <w:rsid w:val="00F81C28"/>
    <w:rsid w:val="00F832EA"/>
    <w:rsid w:val="00F857CC"/>
    <w:rsid w:val="00F85E67"/>
    <w:rsid w:val="00F95600"/>
    <w:rsid w:val="00F9682C"/>
    <w:rsid w:val="00FA7B18"/>
    <w:rsid w:val="00FB05E7"/>
    <w:rsid w:val="00FB0E86"/>
    <w:rsid w:val="00FB1154"/>
    <w:rsid w:val="00FB54D1"/>
    <w:rsid w:val="00FB6D9E"/>
    <w:rsid w:val="00FB7E1B"/>
    <w:rsid w:val="00FC3121"/>
    <w:rsid w:val="00FC3BBF"/>
    <w:rsid w:val="00FD18CB"/>
    <w:rsid w:val="00FD7EBA"/>
    <w:rsid w:val="00FE0A92"/>
    <w:rsid w:val="00FF58E5"/>
    <w:rsid w:val="01112F48"/>
    <w:rsid w:val="01B62B62"/>
    <w:rsid w:val="033D0DD8"/>
    <w:rsid w:val="03A45C28"/>
    <w:rsid w:val="03A6704A"/>
    <w:rsid w:val="05A7401B"/>
    <w:rsid w:val="05B0148D"/>
    <w:rsid w:val="069536E4"/>
    <w:rsid w:val="09190629"/>
    <w:rsid w:val="099E22E5"/>
    <w:rsid w:val="0D8F3238"/>
    <w:rsid w:val="0DFE6ED6"/>
    <w:rsid w:val="0E2A2986"/>
    <w:rsid w:val="0EEE0B3F"/>
    <w:rsid w:val="0F7A5AF8"/>
    <w:rsid w:val="10832D7A"/>
    <w:rsid w:val="109A6292"/>
    <w:rsid w:val="114E0616"/>
    <w:rsid w:val="11ED2B2D"/>
    <w:rsid w:val="121C7A3C"/>
    <w:rsid w:val="13DE7D1A"/>
    <w:rsid w:val="14955BB8"/>
    <w:rsid w:val="14CB51BC"/>
    <w:rsid w:val="156449F9"/>
    <w:rsid w:val="157434EC"/>
    <w:rsid w:val="15834340"/>
    <w:rsid w:val="1831750C"/>
    <w:rsid w:val="18324712"/>
    <w:rsid w:val="189D6E04"/>
    <w:rsid w:val="18C33C7D"/>
    <w:rsid w:val="196A43EF"/>
    <w:rsid w:val="19EE5355"/>
    <w:rsid w:val="1C0B1790"/>
    <w:rsid w:val="1D501249"/>
    <w:rsid w:val="1D8C764F"/>
    <w:rsid w:val="1DFA6E6A"/>
    <w:rsid w:val="1EC05239"/>
    <w:rsid w:val="20AC54AC"/>
    <w:rsid w:val="215707E8"/>
    <w:rsid w:val="21992663"/>
    <w:rsid w:val="220C30CB"/>
    <w:rsid w:val="24034D2A"/>
    <w:rsid w:val="24D11562"/>
    <w:rsid w:val="24D20739"/>
    <w:rsid w:val="28101DD7"/>
    <w:rsid w:val="29024810"/>
    <w:rsid w:val="2AEE7168"/>
    <w:rsid w:val="2BA64AE3"/>
    <w:rsid w:val="2BB9457E"/>
    <w:rsid w:val="2BBE54B9"/>
    <w:rsid w:val="2D100451"/>
    <w:rsid w:val="2E0B7AD2"/>
    <w:rsid w:val="2ED73471"/>
    <w:rsid w:val="2FA03470"/>
    <w:rsid w:val="30082788"/>
    <w:rsid w:val="31024FC4"/>
    <w:rsid w:val="32691B68"/>
    <w:rsid w:val="32E009CD"/>
    <w:rsid w:val="32F6297E"/>
    <w:rsid w:val="338C1CDB"/>
    <w:rsid w:val="371D01E9"/>
    <w:rsid w:val="380C5FF0"/>
    <w:rsid w:val="38E62583"/>
    <w:rsid w:val="38FC723C"/>
    <w:rsid w:val="39483817"/>
    <w:rsid w:val="39EF49ED"/>
    <w:rsid w:val="3A8A0A6D"/>
    <w:rsid w:val="3BEE3180"/>
    <w:rsid w:val="3C2A27F0"/>
    <w:rsid w:val="3C9972E9"/>
    <w:rsid w:val="3D6B723F"/>
    <w:rsid w:val="403C5978"/>
    <w:rsid w:val="41517EEE"/>
    <w:rsid w:val="41BB7DBF"/>
    <w:rsid w:val="41C3552A"/>
    <w:rsid w:val="41F26937"/>
    <w:rsid w:val="43D61846"/>
    <w:rsid w:val="45BA402C"/>
    <w:rsid w:val="475E5ED8"/>
    <w:rsid w:val="48EA0DC3"/>
    <w:rsid w:val="49493DA0"/>
    <w:rsid w:val="4AB31B44"/>
    <w:rsid w:val="4BA61D9A"/>
    <w:rsid w:val="4BAD4607"/>
    <w:rsid w:val="4C7F4E8C"/>
    <w:rsid w:val="4D267C8F"/>
    <w:rsid w:val="4E2D6E47"/>
    <w:rsid w:val="508266A5"/>
    <w:rsid w:val="50AE0EAA"/>
    <w:rsid w:val="51D81B3E"/>
    <w:rsid w:val="52F4134C"/>
    <w:rsid w:val="533247B4"/>
    <w:rsid w:val="55B15397"/>
    <w:rsid w:val="55CD79C5"/>
    <w:rsid w:val="575F7EA6"/>
    <w:rsid w:val="57DB5A11"/>
    <w:rsid w:val="5A363DEF"/>
    <w:rsid w:val="5AD3556D"/>
    <w:rsid w:val="5BF373B8"/>
    <w:rsid w:val="5C256C50"/>
    <w:rsid w:val="5DD15077"/>
    <w:rsid w:val="5DD611DC"/>
    <w:rsid w:val="5DE20731"/>
    <w:rsid w:val="60C6268D"/>
    <w:rsid w:val="61E23957"/>
    <w:rsid w:val="62392DD8"/>
    <w:rsid w:val="64036661"/>
    <w:rsid w:val="64312306"/>
    <w:rsid w:val="647165AD"/>
    <w:rsid w:val="64B931F0"/>
    <w:rsid w:val="651D3FD7"/>
    <w:rsid w:val="658A0C2F"/>
    <w:rsid w:val="65A23928"/>
    <w:rsid w:val="66824A88"/>
    <w:rsid w:val="66C90637"/>
    <w:rsid w:val="6B9545CE"/>
    <w:rsid w:val="6D0D732C"/>
    <w:rsid w:val="6D4468B3"/>
    <w:rsid w:val="6D8328E9"/>
    <w:rsid w:val="6DE76C55"/>
    <w:rsid w:val="6E61099B"/>
    <w:rsid w:val="6ED660E9"/>
    <w:rsid w:val="6F5C1D4B"/>
    <w:rsid w:val="6F776735"/>
    <w:rsid w:val="6FBC4DDA"/>
    <w:rsid w:val="712F0E94"/>
    <w:rsid w:val="712F2955"/>
    <w:rsid w:val="713C6EAD"/>
    <w:rsid w:val="71EA04B1"/>
    <w:rsid w:val="71F13652"/>
    <w:rsid w:val="72284612"/>
    <w:rsid w:val="727D1FD5"/>
    <w:rsid w:val="74C57E36"/>
    <w:rsid w:val="75740118"/>
    <w:rsid w:val="75D42E69"/>
    <w:rsid w:val="77326EDD"/>
    <w:rsid w:val="774D55B0"/>
    <w:rsid w:val="78675141"/>
    <w:rsid w:val="79165391"/>
    <w:rsid w:val="79EC0F7F"/>
    <w:rsid w:val="7A2518A1"/>
    <w:rsid w:val="7BBB023A"/>
    <w:rsid w:val="7BD259D5"/>
    <w:rsid w:val="7C091D5F"/>
    <w:rsid w:val="7D270B64"/>
    <w:rsid w:val="7D8E2A65"/>
    <w:rsid w:val="7D9E0000"/>
    <w:rsid w:val="7F055C50"/>
    <w:rsid w:val="7F311D9F"/>
    <w:rsid w:val="7F3B4776"/>
    <w:rsid w:val="7F8A36AB"/>
    <w:rsid w:val="7FF217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6" w:lineRule="auto"/>
      <w:outlineLvl w:val="0"/>
    </w:pPr>
    <w:rPr>
      <w:rFonts w:eastAsiaTheme="majorEastAsia"/>
      <w:b/>
      <w:kern w:val="44"/>
      <w:sz w:val="32"/>
    </w:rPr>
  </w:style>
  <w:style w:type="paragraph" w:styleId="3">
    <w:name w:val="heading 2"/>
    <w:basedOn w:val="1"/>
    <w:next w:val="1"/>
    <w:unhideWhenUsed/>
    <w:qFormat/>
    <w:uiPriority w:val="0"/>
    <w:pPr>
      <w:keepNext/>
      <w:keepLines/>
      <w:numPr>
        <w:ilvl w:val="1"/>
        <w:numId w:val="1"/>
      </w:numPr>
      <w:tabs>
        <w:tab w:val="left" w:pos="0"/>
      </w:tabs>
      <w:spacing w:before="260" w:after="260" w:line="413" w:lineRule="auto"/>
      <w:outlineLvl w:val="1"/>
    </w:pPr>
    <w:rPr>
      <w:rFonts w:ascii="Arial" w:hAnsi="Arial" w:eastAsiaTheme="majorEastAsia"/>
      <w:b/>
      <w:sz w:val="30"/>
    </w:rPr>
  </w:style>
  <w:style w:type="paragraph" w:styleId="4">
    <w:name w:val="heading 3"/>
    <w:basedOn w:val="1"/>
    <w:next w:val="1"/>
    <w:unhideWhenUsed/>
    <w:qFormat/>
    <w:uiPriority w:val="0"/>
    <w:pPr>
      <w:keepNext/>
      <w:keepLines/>
      <w:numPr>
        <w:ilvl w:val="2"/>
        <w:numId w:val="1"/>
      </w:numPr>
      <w:tabs>
        <w:tab w:val="left" w:pos="567"/>
      </w:tabs>
      <w:spacing w:before="120" w:after="120"/>
      <w:outlineLvl w:val="2"/>
    </w:pPr>
    <w:rPr>
      <w:rFonts w:ascii="Times New Roman" w:hAnsi="Times New Roman" w:eastAsia="宋体" w:cs="Times New Roman"/>
      <w:b/>
      <w:bCs/>
      <w:sz w:val="28"/>
      <w:szCs w:val="18"/>
    </w:rPr>
  </w:style>
  <w:style w:type="paragraph" w:styleId="5">
    <w:name w:val="heading 4"/>
    <w:basedOn w:val="1"/>
    <w:next w:val="1"/>
    <w:semiHidden/>
    <w:unhideWhenUsed/>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after="290" w:line="372" w:lineRule="auto"/>
      <w:outlineLvl w:val="4"/>
    </w:pPr>
    <w:rPr>
      <w:rFonts w:ascii="Times New Roman" w:hAnsi="Times New Roman" w:eastAsia="宋体" w:cs="Times New Roman"/>
      <w:b/>
      <w:sz w:val="24"/>
    </w:rPr>
  </w:style>
  <w:style w:type="paragraph" w:styleId="7">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宋体" w:cs="Times New Roman"/>
      <w:b/>
    </w:rPr>
  </w:style>
  <w:style w:type="paragraph" w:styleId="8">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9">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tabs>
        <w:tab w:val="left" w:pos="720"/>
      </w:tabs>
      <w:spacing w:before="60" w:after="60"/>
      <w:ind w:firstLine="480"/>
    </w:pPr>
    <w:rPr>
      <w:sz w:val="24"/>
      <w:szCs w:val="20"/>
    </w:rPr>
  </w:style>
  <w:style w:type="paragraph" w:styleId="12">
    <w:name w:val="toc 3"/>
    <w:basedOn w:val="1"/>
    <w:next w:val="1"/>
    <w:unhideWhenUsed/>
    <w:qFormat/>
    <w:uiPriority w:val="39"/>
    <w:pPr>
      <w:widowControl/>
      <w:spacing w:after="100" w:line="276" w:lineRule="auto"/>
      <w:ind w:left="440"/>
      <w:jc w:val="left"/>
    </w:pPr>
    <w:rPr>
      <w:kern w:val="0"/>
      <w:sz w:val="22"/>
      <w:szCs w:val="22"/>
    </w:rPr>
  </w:style>
  <w:style w:type="paragraph" w:styleId="13">
    <w:name w:val="Balloon Text"/>
    <w:basedOn w:val="1"/>
    <w:link w:val="22"/>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unhideWhenUsed/>
    <w:qFormat/>
    <w:uiPriority w:val="39"/>
    <w:pPr>
      <w:widowControl/>
      <w:spacing w:after="100" w:line="276" w:lineRule="auto"/>
      <w:jc w:val="left"/>
    </w:pPr>
    <w:rPr>
      <w:kern w:val="0"/>
      <w:sz w:val="22"/>
      <w:szCs w:val="22"/>
    </w:rPr>
  </w:style>
  <w:style w:type="paragraph" w:styleId="17">
    <w:name w:val="toc 2"/>
    <w:basedOn w:val="1"/>
    <w:next w:val="1"/>
    <w:unhideWhenUsed/>
    <w:qFormat/>
    <w:uiPriority w:val="39"/>
    <w:pPr>
      <w:widowControl/>
      <w:spacing w:after="100" w:line="276" w:lineRule="auto"/>
      <w:ind w:left="220"/>
      <w:jc w:val="left"/>
    </w:pPr>
    <w:rPr>
      <w:kern w:val="0"/>
      <w:sz w:val="22"/>
      <w:szCs w:val="22"/>
    </w:rPr>
  </w:style>
  <w:style w:type="character" w:styleId="20">
    <w:name w:val="Hyperlink"/>
    <w:basedOn w:val="19"/>
    <w:unhideWhenUsed/>
    <w:qFormat/>
    <w:uiPriority w:val="99"/>
    <w:rPr>
      <w:color w:val="0563C1" w:themeColor="hyperlink"/>
      <w:u w:val="single"/>
      <w14:textFill>
        <w14:solidFill>
          <w14:schemeClr w14:val="hlink"/>
        </w14:solidFill>
      </w14:textFill>
    </w:rPr>
  </w:style>
  <w:style w:type="paragraph" w:customStyle="1" w:styleId="21">
    <w:name w:val="WPSOffice手动目录 1"/>
    <w:qFormat/>
    <w:uiPriority w:val="0"/>
    <w:rPr>
      <w:rFonts w:ascii="Times New Roman" w:hAnsi="Times New Roman" w:eastAsia="宋体" w:cs="Times New Roman"/>
      <w:lang w:val="en-US" w:eastAsia="zh-CN" w:bidi="ar-SA"/>
    </w:rPr>
  </w:style>
  <w:style w:type="character" w:customStyle="1" w:styleId="22">
    <w:name w:val="批注框文本 字符"/>
    <w:basedOn w:val="19"/>
    <w:link w:val="13"/>
    <w:qFormat/>
    <w:uiPriority w:val="0"/>
    <w:rPr>
      <w:rFonts w:asciiTheme="minorHAnsi" w:hAnsiTheme="minorHAnsi" w:eastAsiaTheme="minorEastAsia" w:cstheme="minorBidi"/>
      <w:kern w:val="2"/>
      <w:sz w:val="18"/>
      <w:szCs w:val="18"/>
    </w:rPr>
  </w:style>
  <w:style w:type="paragraph" w:customStyle="1" w:styleId="23">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4">
    <w:name w:val="TOC 标题1"/>
    <w:basedOn w:val="2"/>
    <w:next w:val="1"/>
    <w:semiHidden/>
    <w:unhideWhenUsed/>
    <w:qFormat/>
    <w:uiPriority w:val="39"/>
    <w:pPr>
      <w:widowControl/>
      <w:spacing w:before="480" w:after="0" w:line="276" w:lineRule="auto"/>
      <w:jc w:val="left"/>
      <w:outlineLvl w:val="9"/>
    </w:pPr>
    <w:rPr>
      <w:rFonts w:asciiTheme="majorHAnsi" w:hAnsiTheme="majorHAnsi" w:cstheme="majorBidi"/>
      <w:bCs/>
      <w:color w:val="2E75B6"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9" Type="http://schemas.openxmlformats.org/officeDocument/2006/relationships/fontTable" Target="fontTable.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1.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header" Target="head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241</Words>
  <Characters>1376</Characters>
  <Lines>11</Lines>
  <Paragraphs>3</Paragraphs>
  <TotalTime>0</TotalTime>
  <ScaleCrop>false</ScaleCrop>
  <LinksUpToDate>false</LinksUpToDate>
  <CharactersWithSpaces>1614</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2020-11-10T08:56:00Z</dcterms:created>
  <dc:creator>cjl</dc:creator>
  <cp:lastModifiedBy>稻草人</cp:lastModifiedBy>
  <dcterms:modified xsi:type="dcterms:W3CDTF">2022-07-18T08:21:28Z</dcterms:modified>
  <cp:revision>420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7EB192BDEDE04A479EAB300C407001DF</vt:lpwstr>
  </property>
</Properties>
</file>